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F7159">
      <w:pPr>
        <w:pStyle w:val="4"/>
        <w:autoSpaceDE w:val="0"/>
        <w:spacing w:before="0" w:beforeAutospacing="0" w:after="0" w:afterAutospacing="0" w:line="579" w:lineRule="exact"/>
        <w:ind w:firstLine="880" w:firstLineChars="200"/>
        <w:jc w:val="center"/>
        <w:rPr>
          <w:rFonts w:ascii="Times New Roman" w:hAnsi="Times New Roman" w:eastAsia="方正小标宋_GBK" w:cs="Times New Roman"/>
          <w:sz w:val="44"/>
          <w:szCs w:val="44"/>
        </w:rPr>
      </w:pPr>
      <w:r>
        <w:rPr>
          <w:rStyle w:val="6"/>
          <w:rFonts w:hint="eastAsia" w:ascii="方正小标宋_GBK" w:eastAsia="方正小标宋_GBK"/>
          <w:b w:val="0"/>
          <w:bCs w:val="0"/>
          <w:sz w:val="44"/>
          <w:szCs w:val="44"/>
          <w:shd w:val="clear" w:color="auto" w:fill="FFFFFF"/>
        </w:rPr>
        <w:t>城口县工业园区管理委员会</w:t>
      </w:r>
    </w:p>
    <w:p w14:paraId="28896E38">
      <w:pPr>
        <w:pStyle w:val="4"/>
        <w:autoSpaceDE w:val="0"/>
        <w:spacing w:before="0" w:beforeAutospacing="0" w:after="0" w:afterAutospacing="0" w:line="579" w:lineRule="exact"/>
        <w:ind w:firstLine="880" w:firstLineChars="200"/>
        <w:jc w:val="center"/>
        <w:rPr>
          <w:rFonts w:ascii="Times New Roman" w:hAnsi="Times New Roman" w:eastAsia="方正小标宋_GBK" w:cs="Times New Roman"/>
          <w:sz w:val="44"/>
          <w:szCs w:val="44"/>
          <w:shd w:val="clear" w:color="auto" w:fill="FFFFFF"/>
        </w:rPr>
      </w:pPr>
      <w:r>
        <w:rPr>
          <w:rStyle w:val="6"/>
          <w:rFonts w:eastAsia="方正小标宋_GBK"/>
          <w:b w:val="0"/>
          <w:bCs w:val="0"/>
          <w:sz w:val="44"/>
          <w:szCs w:val="44"/>
          <w:shd w:val="clear" w:color="auto" w:fill="FFFFFF"/>
        </w:rPr>
        <w:t>2022</w:t>
      </w:r>
      <w:r>
        <w:rPr>
          <w:rStyle w:val="6"/>
          <w:rFonts w:hint="eastAsia" w:ascii="方正小标宋_GBK" w:eastAsia="方正小标宋_GBK"/>
          <w:b w:val="0"/>
          <w:bCs w:val="0"/>
          <w:sz w:val="44"/>
          <w:szCs w:val="44"/>
          <w:shd w:val="clear" w:color="auto" w:fill="FFFFFF"/>
        </w:rPr>
        <w:t>年度部门决算情况说明</w:t>
      </w:r>
    </w:p>
    <w:p w14:paraId="0E3132FB">
      <w:pPr>
        <w:pStyle w:val="4"/>
        <w:autoSpaceDE w:val="0"/>
        <w:spacing w:before="0" w:beforeAutospacing="0" w:after="0" w:afterAutospacing="0" w:line="579" w:lineRule="exact"/>
        <w:ind w:firstLine="880" w:firstLineChars="200"/>
        <w:jc w:val="center"/>
        <w:rPr>
          <w:rFonts w:ascii="Times New Roman" w:hAnsi="Times New Roman" w:eastAsia="方正小标宋_GBK" w:cs="Times New Roman"/>
          <w:sz w:val="44"/>
          <w:szCs w:val="44"/>
          <w:shd w:val="clear" w:color="auto" w:fill="FFFFFF"/>
        </w:rPr>
      </w:pPr>
      <w:r>
        <w:rPr>
          <w:rStyle w:val="6"/>
          <w:rFonts w:eastAsia="方正小标宋_GBK"/>
          <w:b w:val="0"/>
          <w:bCs w:val="0"/>
          <w:sz w:val="44"/>
          <w:szCs w:val="44"/>
          <w:shd w:val="clear" w:color="auto" w:fill="FFFFFF"/>
        </w:rPr>
        <w:t xml:space="preserve"> </w:t>
      </w:r>
    </w:p>
    <w:p w14:paraId="76776195">
      <w:pPr>
        <w:pStyle w:val="4"/>
        <w:autoSpaceDE w:val="0"/>
        <w:spacing w:before="0" w:beforeAutospacing="0" w:after="0" w:afterAutospacing="0" w:line="579" w:lineRule="exact"/>
        <w:ind w:firstLine="640" w:firstLineChars="200"/>
        <w:jc w:val="both"/>
        <w:rPr>
          <w:rFonts w:ascii="Times New Roman" w:hAnsi="Times New Roman" w:eastAsia="方正黑体_GBK" w:cs="Times New Roman"/>
          <w:sz w:val="32"/>
          <w:szCs w:val="32"/>
        </w:rPr>
      </w:pPr>
      <w:r>
        <w:rPr>
          <w:rStyle w:val="6"/>
          <w:rFonts w:hint="eastAsia" w:ascii="方正黑体_GBK" w:eastAsia="方正黑体_GBK"/>
          <w:b w:val="0"/>
          <w:bCs w:val="0"/>
          <w:sz w:val="32"/>
          <w:szCs w:val="32"/>
          <w:shd w:val="clear" w:color="auto" w:fill="FFFFFF"/>
        </w:rPr>
        <w:t>一、部门基本情况</w:t>
      </w:r>
    </w:p>
    <w:p w14:paraId="0706CF9B">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（一）职能职责</w:t>
      </w:r>
    </w:p>
    <w:p w14:paraId="0DB66E01">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1.</w:t>
      </w:r>
      <w:r>
        <w:rPr>
          <w:rFonts w:hint="eastAsia" w:ascii="方正仿宋_GBK" w:eastAsia="方正仿宋_GBK"/>
          <w:sz w:val="32"/>
          <w:szCs w:val="32"/>
          <w:shd w:val="clear" w:color="auto" w:fill="FFFFFF"/>
        </w:rPr>
        <w:t>贯彻执行党的路线、方针、政策和国家的法律、法规以及县委、县政府的有关决定。</w:t>
      </w:r>
    </w:p>
    <w:p w14:paraId="56937EC0">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2.</w:t>
      </w:r>
      <w:r>
        <w:rPr>
          <w:rFonts w:hint="eastAsia" w:ascii="方正仿宋_GBK" w:eastAsia="方正仿宋_GBK"/>
          <w:sz w:val="32"/>
          <w:szCs w:val="32"/>
          <w:shd w:val="clear" w:color="auto" w:fill="FFFFFF"/>
        </w:rPr>
        <w:t>按照全县国民经济和社会发展规划，负责制定工业园区总体规划和经济社会发展计划；制定工业园区产业发展规划以及各项具体管理办法和优惠政策等，经批准后组织实施；负责工业园区新增组团的规划建设。</w:t>
      </w:r>
    </w:p>
    <w:p w14:paraId="18BE2AA2">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3.</w:t>
      </w:r>
      <w:r>
        <w:rPr>
          <w:rFonts w:hint="eastAsia" w:ascii="方正仿宋_GBK" w:eastAsia="方正仿宋_GBK"/>
          <w:sz w:val="32"/>
          <w:szCs w:val="32"/>
          <w:shd w:val="clear" w:color="auto" w:fill="FFFFFF"/>
        </w:rPr>
        <w:t>根据县政府授权，制定园区各项具体管理办法并组织实施。</w:t>
      </w:r>
    </w:p>
    <w:p w14:paraId="3D0A9402">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4.</w:t>
      </w:r>
      <w:r>
        <w:rPr>
          <w:rFonts w:hint="eastAsia" w:ascii="方正仿宋_GBK" w:eastAsia="方正仿宋_GBK"/>
          <w:sz w:val="32"/>
          <w:szCs w:val="32"/>
          <w:shd w:val="clear" w:color="auto" w:fill="FFFFFF"/>
        </w:rPr>
        <w:t>负责工业园区内招商引资工作，按规定权限和程序审核报批入驻园区的投资项目。</w:t>
      </w:r>
    </w:p>
    <w:p w14:paraId="7EE1F7A3">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5.</w:t>
      </w:r>
      <w:r>
        <w:rPr>
          <w:rFonts w:hint="eastAsia" w:ascii="方正仿宋_GBK" w:eastAsia="方正仿宋_GBK"/>
          <w:sz w:val="32"/>
          <w:szCs w:val="32"/>
          <w:shd w:val="clear" w:color="auto" w:fill="FFFFFF"/>
        </w:rPr>
        <w:t>协助相关部门做好工业园区内土地征收、土地使用权的出让、出租等工作；负责园区内已征收土地的整治工作；配合相关部门做好园区内的移民安置。</w:t>
      </w:r>
    </w:p>
    <w:p w14:paraId="3C246BC7">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6.</w:t>
      </w:r>
      <w:r>
        <w:rPr>
          <w:rFonts w:hint="eastAsia" w:ascii="方正仿宋_GBK" w:eastAsia="方正仿宋_GBK"/>
          <w:sz w:val="32"/>
          <w:szCs w:val="32"/>
          <w:shd w:val="clear" w:color="auto" w:fill="FFFFFF"/>
        </w:rPr>
        <w:t>负责园区内各项基础设施和公共设施的建设和管理，协调工业园区内环境保护工作。</w:t>
      </w:r>
    </w:p>
    <w:p w14:paraId="2D8D8D3B">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7.</w:t>
      </w:r>
      <w:r>
        <w:rPr>
          <w:rFonts w:hint="eastAsia" w:ascii="方正仿宋_GBK" w:eastAsia="方正仿宋_GBK"/>
          <w:sz w:val="32"/>
          <w:szCs w:val="32"/>
          <w:shd w:val="clear" w:color="auto" w:fill="FFFFFF"/>
        </w:rPr>
        <w:t>贯彻落实国家的安全生产方针政策和法律法规，负责园区安全生产监督管理。</w:t>
      </w:r>
    </w:p>
    <w:p w14:paraId="54650800">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8.</w:t>
      </w:r>
      <w:r>
        <w:rPr>
          <w:rFonts w:hint="eastAsia" w:ascii="方正仿宋_GBK" w:eastAsia="方正仿宋_GBK"/>
          <w:sz w:val="32"/>
          <w:szCs w:val="32"/>
          <w:shd w:val="clear" w:color="auto" w:fill="FFFFFF"/>
        </w:rPr>
        <w:t>指导企业建设和发展，承担园区企业服务职责，会同有关部门建立和完善服务体系，负责园区内企业各种数据统计上报工作。</w:t>
      </w:r>
    </w:p>
    <w:p w14:paraId="76483C73">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9.</w:t>
      </w:r>
      <w:r>
        <w:rPr>
          <w:rFonts w:hint="eastAsia" w:ascii="方正仿宋_GBK" w:eastAsia="方正仿宋_GBK"/>
          <w:sz w:val="32"/>
          <w:szCs w:val="32"/>
          <w:shd w:val="clear" w:color="auto" w:fill="FFFFFF"/>
        </w:rPr>
        <w:t>根据县政府授权，行使对工业园区内国有资产的管理权。</w:t>
      </w:r>
    </w:p>
    <w:p w14:paraId="7D586E39">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10.</w:t>
      </w:r>
      <w:r>
        <w:rPr>
          <w:rFonts w:hint="eastAsia" w:ascii="方正仿宋_GBK" w:eastAsia="方正仿宋_GBK"/>
          <w:sz w:val="32"/>
          <w:szCs w:val="32"/>
          <w:shd w:val="clear" w:color="auto" w:fill="FFFFFF"/>
        </w:rPr>
        <w:t>负责工业园区内社会治安综合治理、精神文明、社区管理工作，做好园区内教育、文化、卫生计生等社会事务工作。</w:t>
      </w:r>
    </w:p>
    <w:p w14:paraId="7FD6F6A5">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11.</w:t>
      </w:r>
      <w:r>
        <w:rPr>
          <w:rFonts w:hint="eastAsia" w:ascii="方正仿宋_GBK" w:eastAsia="方正仿宋_GBK"/>
          <w:sz w:val="32"/>
          <w:szCs w:val="32"/>
          <w:shd w:val="clear" w:color="auto" w:fill="FFFFFF"/>
        </w:rPr>
        <w:t>监督、协调、协助管理市、县有关单位在工业园区的派出机构和分支机构。</w:t>
      </w:r>
    </w:p>
    <w:p w14:paraId="378C359E">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12.</w:t>
      </w:r>
      <w:r>
        <w:rPr>
          <w:rFonts w:hint="eastAsia" w:ascii="方正仿宋_GBK" w:eastAsia="方正仿宋_GBK"/>
          <w:sz w:val="32"/>
          <w:szCs w:val="32"/>
          <w:shd w:val="clear" w:color="auto" w:fill="FFFFFF"/>
        </w:rPr>
        <w:t>承办县政府交办的其他事项。</w:t>
      </w:r>
    </w:p>
    <w:p w14:paraId="45F2E03F">
      <w:pPr>
        <w:pStyle w:val="4"/>
        <w:autoSpaceDE w:val="0"/>
        <w:spacing w:before="0" w:beforeAutospacing="0" w:after="0" w:afterAutospacing="0" w:line="579" w:lineRule="exact"/>
        <w:ind w:firstLine="640" w:firstLineChars="200"/>
        <w:jc w:val="both"/>
        <w:rPr>
          <w:rFonts w:ascii="Times New Roman" w:hAnsi="Times New Roman" w:eastAsia="方正楷体_GBK" w:cs="Times New Roman"/>
          <w:sz w:val="32"/>
          <w:szCs w:val="32"/>
          <w:shd w:val="clear" w:color="auto" w:fill="FFFFFF"/>
        </w:rPr>
      </w:pPr>
      <w:r>
        <w:rPr>
          <w:rStyle w:val="6"/>
          <w:rFonts w:hint="eastAsia" w:ascii="方正楷体_GBK" w:eastAsia="方正楷体_GBK"/>
          <w:b w:val="0"/>
          <w:bCs w:val="0"/>
          <w:sz w:val="32"/>
          <w:szCs w:val="32"/>
          <w:shd w:val="clear" w:color="auto" w:fill="FFFFFF"/>
        </w:rPr>
        <w:t>（二）机构设置</w:t>
      </w:r>
    </w:p>
    <w:p w14:paraId="12823E28">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shd w:val="clear" w:color="auto" w:fill="FFFFFF"/>
        </w:rPr>
      </w:pPr>
      <w:r>
        <w:rPr>
          <w:rFonts w:hint="eastAsia" w:ascii="方正仿宋_GBK" w:eastAsia="方正仿宋_GBK"/>
          <w:sz w:val="32"/>
          <w:szCs w:val="32"/>
          <w:shd w:val="clear" w:color="auto" w:fill="FFFFFF"/>
        </w:rPr>
        <w:t>城口县工业园区管理委员会内设</w:t>
      </w:r>
      <w:r>
        <w:rPr>
          <w:rFonts w:ascii="Times New Roman" w:hAnsi="Times New Roman" w:eastAsia="方正仿宋_GBK" w:cs="Times New Roman"/>
          <w:sz w:val="32"/>
          <w:szCs w:val="32"/>
          <w:shd w:val="clear" w:color="auto" w:fill="FFFFFF"/>
        </w:rPr>
        <w:t>5</w:t>
      </w:r>
      <w:r>
        <w:rPr>
          <w:rFonts w:hint="eastAsia" w:ascii="方正仿宋_GBK" w:eastAsia="方正仿宋_GBK"/>
          <w:sz w:val="32"/>
          <w:szCs w:val="32"/>
          <w:shd w:val="clear" w:color="auto" w:fill="FFFFFF"/>
        </w:rPr>
        <w:t>个机构，分别是综合科、规划建设科、财务融资管理科、资产运营科、安全环保科。城口工业园区管理委员会机关行政编制</w:t>
      </w:r>
      <w:r>
        <w:rPr>
          <w:rFonts w:ascii="Times New Roman" w:hAnsi="Times New Roman" w:eastAsia="方正仿宋_GBK" w:cs="Times New Roman"/>
          <w:sz w:val="32"/>
          <w:szCs w:val="32"/>
          <w:shd w:val="clear" w:color="auto" w:fill="FFFFFF"/>
        </w:rPr>
        <w:t>5</w:t>
      </w:r>
      <w:r>
        <w:rPr>
          <w:rFonts w:hint="eastAsia" w:ascii="方正仿宋_GBK" w:eastAsia="方正仿宋_GBK"/>
          <w:sz w:val="32"/>
          <w:szCs w:val="32"/>
          <w:shd w:val="clear" w:color="auto" w:fill="FFFFFF"/>
        </w:rPr>
        <w:t>名，其中主任</w:t>
      </w:r>
      <w:r>
        <w:rPr>
          <w:rFonts w:ascii="Times New Roman" w:hAnsi="Times New Roman" w:eastAsia="方正仿宋_GBK" w:cs="Times New Roman"/>
          <w:sz w:val="32"/>
          <w:szCs w:val="32"/>
          <w:shd w:val="clear" w:color="auto" w:fill="FFFFFF"/>
        </w:rPr>
        <w:t>1</w:t>
      </w:r>
      <w:r>
        <w:rPr>
          <w:rFonts w:hint="eastAsia" w:ascii="方正仿宋_GBK" w:eastAsia="方正仿宋_GBK"/>
          <w:sz w:val="32"/>
          <w:szCs w:val="32"/>
          <w:shd w:val="clear" w:color="auto" w:fill="FFFFFF"/>
        </w:rPr>
        <w:t>名，副主任</w:t>
      </w:r>
      <w:r>
        <w:rPr>
          <w:rFonts w:ascii="Times New Roman" w:hAnsi="Times New Roman" w:eastAsia="方正仿宋_GBK" w:cs="Times New Roman"/>
          <w:sz w:val="32"/>
          <w:szCs w:val="32"/>
          <w:shd w:val="clear" w:color="auto" w:fill="FFFFFF"/>
        </w:rPr>
        <w:t>3</w:t>
      </w:r>
      <w:r>
        <w:rPr>
          <w:rFonts w:hint="eastAsia" w:ascii="方正仿宋_GBK" w:eastAsia="方正仿宋_GBK"/>
          <w:sz w:val="32"/>
          <w:szCs w:val="32"/>
          <w:shd w:val="clear" w:color="auto" w:fill="FFFFFF"/>
        </w:rPr>
        <w:t>名，内设机构领导职数原则按</w:t>
      </w:r>
      <w:r>
        <w:rPr>
          <w:rFonts w:ascii="Times New Roman" w:hAnsi="Times New Roman" w:eastAsia="方正仿宋_GBK" w:cs="Times New Roman"/>
          <w:sz w:val="32"/>
          <w:szCs w:val="32"/>
          <w:shd w:val="clear" w:color="auto" w:fill="FFFFFF"/>
        </w:rPr>
        <w:t>1</w:t>
      </w:r>
      <w:r>
        <w:rPr>
          <w:rFonts w:hint="eastAsia" w:ascii="方正仿宋_GBK" w:eastAsia="方正仿宋_GBK"/>
          <w:sz w:val="32"/>
          <w:szCs w:val="32"/>
          <w:shd w:val="clear" w:color="auto" w:fill="FFFFFF"/>
        </w:rPr>
        <w:t>名配备。</w:t>
      </w:r>
    </w:p>
    <w:p w14:paraId="1C574F10">
      <w:pPr>
        <w:pStyle w:val="4"/>
        <w:autoSpaceDE w:val="0"/>
        <w:spacing w:before="0" w:beforeAutospacing="0" w:after="0" w:afterAutospacing="0" w:line="579" w:lineRule="exact"/>
        <w:ind w:firstLine="640" w:firstLineChars="200"/>
        <w:jc w:val="both"/>
        <w:rPr>
          <w:rFonts w:ascii="Times New Roman" w:hAnsi="Times New Roman" w:eastAsia="方正楷体_GBK" w:cs="Times New Roman"/>
          <w:sz w:val="32"/>
          <w:szCs w:val="32"/>
          <w:shd w:val="clear" w:color="auto" w:fill="FFFFFF"/>
        </w:rPr>
      </w:pPr>
      <w:r>
        <w:rPr>
          <w:rStyle w:val="6"/>
          <w:rFonts w:hint="eastAsia" w:ascii="方正楷体_GBK" w:eastAsia="方正楷体_GBK"/>
          <w:b w:val="0"/>
          <w:bCs w:val="0"/>
          <w:sz w:val="32"/>
          <w:szCs w:val="32"/>
          <w:shd w:val="clear" w:color="auto" w:fill="FFFFFF"/>
        </w:rPr>
        <w:t>（三）单位构成</w:t>
      </w:r>
    </w:p>
    <w:p w14:paraId="0D136012">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hint="eastAsia" w:ascii="方正仿宋_GBK" w:eastAsia="方正仿宋_GBK"/>
          <w:sz w:val="32"/>
          <w:szCs w:val="32"/>
          <w:shd w:val="clear" w:color="auto" w:fill="FFFFFF"/>
        </w:rPr>
        <w:t>从预算单位构成看，纳入本部门</w:t>
      </w:r>
      <w:r>
        <w:rPr>
          <w:rFonts w:ascii="Times New Roman" w:hAnsi="Times New Roman" w:eastAsia="方正仿宋_GBK" w:cs="Times New Roman"/>
          <w:sz w:val="32"/>
          <w:szCs w:val="32"/>
          <w:shd w:val="clear" w:color="auto" w:fill="FFFFFF"/>
        </w:rPr>
        <w:t>2022</w:t>
      </w:r>
      <w:r>
        <w:rPr>
          <w:rFonts w:hint="eastAsia" w:ascii="方正仿宋_GBK" w:eastAsia="方正仿宋_GBK"/>
          <w:sz w:val="32"/>
          <w:szCs w:val="32"/>
          <w:shd w:val="clear" w:color="auto" w:fill="FFFFFF"/>
        </w:rPr>
        <w:t>年度决算编制的二级预算单位为</w:t>
      </w:r>
      <w:r>
        <w:rPr>
          <w:rFonts w:hint="eastAsia" w:ascii="方正仿宋_GBK" w:eastAsia="方正仿宋_GBK"/>
          <w:sz w:val="32"/>
          <w:szCs w:val="32"/>
        </w:rPr>
        <w:t>城口工业园区服务中心</w:t>
      </w:r>
      <w:r>
        <w:rPr>
          <w:rFonts w:hint="eastAsia" w:ascii="方正仿宋_GBK" w:eastAsia="方正仿宋_GBK"/>
          <w:sz w:val="32"/>
          <w:szCs w:val="32"/>
          <w:shd w:val="clear" w:color="auto" w:fill="FFFFFF"/>
        </w:rPr>
        <w:t>。机构性质为公益一类全额财政拨款事业单位，机构规格为七级职员管理事业单位，隶属城口工业园区管委会管理。核定城口工业园区服务中心全额财政拨款事业编制</w:t>
      </w:r>
      <w:r>
        <w:rPr>
          <w:rFonts w:ascii="Times New Roman" w:hAnsi="Times New Roman" w:eastAsia="方正仿宋_GBK" w:cs="Times New Roman"/>
          <w:sz w:val="32"/>
          <w:szCs w:val="32"/>
          <w:shd w:val="clear" w:color="auto" w:fill="FFFFFF"/>
        </w:rPr>
        <w:t>21</w:t>
      </w:r>
      <w:r>
        <w:rPr>
          <w:rFonts w:hint="eastAsia" w:ascii="方正仿宋_GBK" w:eastAsia="方正仿宋_GBK"/>
          <w:sz w:val="32"/>
          <w:szCs w:val="32"/>
          <w:shd w:val="clear" w:color="auto" w:fill="FFFFFF"/>
        </w:rPr>
        <w:t>名，领导职数</w:t>
      </w:r>
      <w:r>
        <w:rPr>
          <w:rFonts w:ascii="Times New Roman" w:hAnsi="Times New Roman" w:eastAsia="方正仿宋_GBK" w:cs="Times New Roman"/>
          <w:sz w:val="32"/>
          <w:szCs w:val="32"/>
          <w:shd w:val="clear" w:color="auto" w:fill="FFFFFF"/>
        </w:rPr>
        <w:t>4</w:t>
      </w:r>
      <w:r>
        <w:rPr>
          <w:rFonts w:hint="eastAsia" w:ascii="方正仿宋_GBK" w:eastAsia="方正仿宋_GBK"/>
          <w:sz w:val="32"/>
          <w:szCs w:val="32"/>
          <w:shd w:val="clear" w:color="auto" w:fill="FFFFFF"/>
        </w:rPr>
        <w:t>名，其中：主任</w:t>
      </w:r>
      <w:r>
        <w:rPr>
          <w:rFonts w:ascii="Times New Roman" w:hAnsi="Times New Roman" w:eastAsia="方正仿宋_GBK" w:cs="Times New Roman"/>
          <w:sz w:val="32"/>
          <w:szCs w:val="32"/>
          <w:shd w:val="clear" w:color="auto" w:fill="FFFFFF"/>
        </w:rPr>
        <w:t>1</w:t>
      </w:r>
      <w:r>
        <w:rPr>
          <w:rFonts w:hint="eastAsia" w:ascii="方正仿宋_GBK" w:eastAsia="方正仿宋_GBK"/>
          <w:sz w:val="32"/>
          <w:szCs w:val="32"/>
          <w:shd w:val="clear" w:color="auto" w:fill="FFFFFF"/>
        </w:rPr>
        <w:t>名，副主任</w:t>
      </w:r>
      <w:r>
        <w:rPr>
          <w:rFonts w:ascii="Times New Roman" w:hAnsi="Times New Roman" w:eastAsia="方正仿宋_GBK" w:cs="Times New Roman"/>
          <w:sz w:val="32"/>
          <w:szCs w:val="32"/>
          <w:shd w:val="clear" w:color="auto" w:fill="FFFFFF"/>
        </w:rPr>
        <w:t>3</w:t>
      </w:r>
      <w:r>
        <w:rPr>
          <w:rFonts w:hint="eastAsia" w:ascii="方正仿宋_GBK" w:eastAsia="方正仿宋_GBK"/>
          <w:sz w:val="32"/>
          <w:szCs w:val="32"/>
          <w:shd w:val="clear" w:color="auto" w:fill="FFFFFF"/>
        </w:rPr>
        <w:t>名。内设机构领导职数按</w:t>
      </w:r>
      <w:r>
        <w:rPr>
          <w:rFonts w:ascii="Times New Roman" w:hAnsi="Times New Roman" w:eastAsia="方正仿宋_GBK" w:cs="Times New Roman"/>
          <w:sz w:val="32"/>
          <w:szCs w:val="32"/>
          <w:shd w:val="clear" w:color="auto" w:fill="FFFFFF"/>
        </w:rPr>
        <w:t>1</w:t>
      </w:r>
      <w:r>
        <w:rPr>
          <w:rFonts w:hint="eastAsia" w:ascii="方正仿宋_GBK" w:eastAsia="方正仿宋_GBK"/>
          <w:sz w:val="32"/>
          <w:szCs w:val="32"/>
          <w:shd w:val="clear" w:color="auto" w:fill="FFFFFF"/>
        </w:rPr>
        <w:t>名配备。</w:t>
      </w:r>
    </w:p>
    <w:p w14:paraId="3B2B046A">
      <w:pPr>
        <w:pStyle w:val="4"/>
        <w:autoSpaceDE w:val="0"/>
        <w:spacing w:before="0" w:beforeAutospacing="0" w:after="0" w:afterAutospacing="0" w:line="579" w:lineRule="exact"/>
        <w:ind w:firstLine="640" w:firstLineChars="200"/>
        <w:jc w:val="both"/>
        <w:rPr>
          <w:rFonts w:ascii="Times New Roman" w:hAnsi="Times New Roman" w:eastAsia="方正黑体_GBK" w:cs="Times New Roman"/>
          <w:sz w:val="32"/>
          <w:szCs w:val="32"/>
          <w:shd w:val="clear" w:color="auto" w:fill="FFFFFF"/>
        </w:rPr>
      </w:pPr>
      <w:r>
        <w:rPr>
          <w:rStyle w:val="6"/>
          <w:rFonts w:hint="eastAsia" w:ascii="方正黑体_GBK" w:eastAsia="方正黑体_GBK"/>
          <w:b w:val="0"/>
          <w:bCs w:val="0"/>
          <w:sz w:val="32"/>
          <w:szCs w:val="32"/>
          <w:shd w:val="clear" w:color="auto" w:fill="FFFFFF"/>
        </w:rPr>
        <w:t>二、部门决算情况说明</w:t>
      </w:r>
    </w:p>
    <w:p w14:paraId="667C9C52">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（一）收入支出决算总体情况说明</w:t>
      </w:r>
    </w:p>
    <w:p w14:paraId="77DFB25B">
      <w:pPr>
        <w:pStyle w:val="4"/>
        <w:autoSpaceDE w:val="0"/>
        <w:spacing w:before="0" w:beforeAutospacing="0" w:after="0" w:afterAutospacing="0" w:line="579" w:lineRule="exact"/>
        <w:ind w:firstLine="643" w:firstLineChars="200"/>
        <w:jc w:val="both"/>
        <w:rPr>
          <w:rFonts w:ascii="Times New Roman" w:hAnsi="Times New Roman" w:eastAsia="方正仿宋_GBK" w:cs="Times New Roman"/>
          <w:sz w:val="32"/>
          <w:szCs w:val="32"/>
          <w:shd w:val="clear" w:color="auto" w:fill="FFFFFF"/>
        </w:rPr>
      </w:pPr>
      <w:r>
        <w:rPr>
          <w:rStyle w:val="6"/>
          <w:rFonts w:eastAsia="方正仿宋_GBK"/>
          <w:sz w:val="32"/>
          <w:szCs w:val="32"/>
          <w:shd w:val="clear" w:color="auto" w:fill="FFFFFF"/>
        </w:rPr>
        <w:t>1.</w:t>
      </w:r>
      <w:r>
        <w:rPr>
          <w:rStyle w:val="6"/>
          <w:rFonts w:hint="eastAsia" w:ascii="方正仿宋_GBK" w:eastAsia="方正仿宋_GBK"/>
          <w:sz w:val="32"/>
          <w:szCs w:val="32"/>
          <w:shd w:val="clear" w:color="auto" w:fill="FFFFFF"/>
        </w:rPr>
        <w:t>总体情况。</w:t>
      </w:r>
      <w:r>
        <w:rPr>
          <w:rFonts w:ascii="Times New Roman" w:hAnsi="Times New Roman" w:eastAsia="方正仿宋_GBK" w:cs="Times New Roman"/>
          <w:sz w:val="32"/>
          <w:szCs w:val="32"/>
          <w:shd w:val="clear" w:color="auto" w:fill="FFFFFF"/>
        </w:rPr>
        <w:t>2022</w:t>
      </w:r>
      <w:r>
        <w:rPr>
          <w:rFonts w:hint="eastAsia" w:ascii="方正仿宋_GBK" w:eastAsia="方正仿宋_GBK"/>
          <w:sz w:val="32"/>
          <w:szCs w:val="32"/>
          <w:shd w:val="clear" w:color="auto" w:fill="FFFFFF"/>
        </w:rPr>
        <w:t>年度收入总计</w:t>
      </w:r>
      <w:r>
        <w:rPr>
          <w:rFonts w:ascii="Times New Roman" w:hAnsi="Times New Roman" w:eastAsia="方正仿宋_GBK" w:cs="Times New Roman"/>
          <w:sz w:val="32"/>
          <w:szCs w:val="32"/>
          <w:shd w:val="clear" w:color="auto" w:fill="FFFFFF"/>
        </w:rPr>
        <w:t>628.30</w:t>
      </w:r>
      <w:r>
        <w:rPr>
          <w:rFonts w:hint="eastAsia" w:ascii="方正仿宋_GBK" w:eastAsia="方正仿宋_GBK"/>
          <w:sz w:val="32"/>
          <w:szCs w:val="32"/>
          <w:shd w:val="clear" w:color="auto" w:fill="FFFFFF"/>
        </w:rPr>
        <w:t>万元，支出总计</w:t>
      </w:r>
      <w:r>
        <w:rPr>
          <w:rFonts w:ascii="Times New Roman" w:hAnsi="Times New Roman" w:eastAsia="方正仿宋_GBK" w:cs="Times New Roman"/>
          <w:sz w:val="32"/>
          <w:szCs w:val="32"/>
          <w:shd w:val="clear" w:color="auto" w:fill="FFFFFF"/>
        </w:rPr>
        <w:t>628.30</w:t>
      </w:r>
      <w:r>
        <w:rPr>
          <w:rFonts w:hint="eastAsia" w:ascii="方正仿宋_GBK" w:eastAsia="方正仿宋_GBK"/>
          <w:sz w:val="32"/>
          <w:szCs w:val="32"/>
          <w:shd w:val="clear" w:color="auto" w:fill="FFFFFF"/>
        </w:rPr>
        <w:t>万元。收支较上年决算数增加</w:t>
      </w:r>
      <w:r>
        <w:rPr>
          <w:rFonts w:ascii="Times New Roman" w:hAnsi="Times New Roman" w:eastAsia="方正仿宋_GBK" w:cs="Times New Roman"/>
          <w:sz w:val="32"/>
          <w:szCs w:val="32"/>
          <w:shd w:val="clear" w:color="auto" w:fill="FFFFFF"/>
        </w:rPr>
        <w:t>243.27</w:t>
      </w:r>
      <w:r>
        <w:rPr>
          <w:rFonts w:hint="eastAsia" w:ascii="方正仿宋_GBK" w:eastAsia="方正仿宋_GBK"/>
          <w:sz w:val="32"/>
          <w:szCs w:val="32"/>
          <w:shd w:val="clear" w:color="auto" w:fill="FFFFFF"/>
        </w:rPr>
        <w:t>万元</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增长</w:t>
      </w:r>
      <w:r>
        <w:rPr>
          <w:rFonts w:ascii="Times New Roman" w:hAnsi="Times New Roman" w:eastAsia="方正仿宋_GBK" w:cs="Times New Roman"/>
          <w:sz w:val="32"/>
          <w:szCs w:val="32"/>
          <w:shd w:val="clear" w:color="auto" w:fill="FFFFFF"/>
        </w:rPr>
        <w:t>63.2%</w:t>
      </w:r>
      <w:r>
        <w:rPr>
          <w:rFonts w:hint="eastAsia" w:ascii="方正仿宋_GBK" w:eastAsia="方正仿宋_GBK"/>
          <w:sz w:val="32"/>
          <w:szCs w:val="32"/>
          <w:shd w:val="clear" w:color="auto" w:fill="FFFFFF"/>
        </w:rPr>
        <w:t>，主要原因是本年度项目投入增加。</w:t>
      </w:r>
    </w:p>
    <w:p w14:paraId="7266E152">
      <w:pPr>
        <w:pStyle w:val="4"/>
        <w:autoSpaceDE w:val="0"/>
        <w:spacing w:before="0" w:beforeAutospacing="0" w:after="0" w:afterAutospacing="0" w:line="579" w:lineRule="exact"/>
        <w:ind w:firstLine="643" w:firstLineChars="200"/>
        <w:jc w:val="both"/>
        <w:rPr>
          <w:rFonts w:ascii="Times New Roman" w:hAnsi="Times New Roman" w:eastAsia="方正仿宋_GBK" w:cs="Times New Roman"/>
          <w:sz w:val="32"/>
          <w:szCs w:val="32"/>
          <w:shd w:val="clear" w:color="auto" w:fill="FFFFFF"/>
        </w:rPr>
      </w:pPr>
      <w:r>
        <w:rPr>
          <w:rStyle w:val="6"/>
          <w:rFonts w:eastAsia="方正仿宋_GBK"/>
          <w:sz w:val="32"/>
          <w:szCs w:val="32"/>
          <w:shd w:val="clear" w:color="auto" w:fill="FFFFFF"/>
        </w:rPr>
        <w:t>2.</w:t>
      </w:r>
      <w:r>
        <w:rPr>
          <w:rStyle w:val="6"/>
          <w:rFonts w:hint="eastAsia" w:ascii="方正仿宋_GBK" w:eastAsia="方正仿宋_GBK"/>
          <w:sz w:val="32"/>
          <w:szCs w:val="32"/>
          <w:shd w:val="clear" w:color="auto" w:fill="FFFFFF"/>
        </w:rPr>
        <w:t>收入情况。</w:t>
      </w:r>
      <w:r>
        <w:rPr>
          <w:rFonts w:ascii="Times New Roman" w:hAnsi="Times New Roman" w:eastAsia="方正仿宋_GBK" w:cs="Times New Roman"/>
          <w:sz w:val="32"/>
          <w:szCs w:val="32"/>
          <w:shd w:val="clear" w:color="auto" w:fill="FFFFFF"/>
        </w:rPr>
        <w:t>2022</w:t>
      </w:r>
      <w:r>
        <w:rPr>
          <w:rFonts w:hint="eastAsia" w:ascii="方正仿宋_GBK" w:eastAsia="方正仿宋_GBK"/>
          <w:sz w:val="32"/>
          <w:szCs w:val="32"/>
          <w:shd w:val="clear" w:color="auto" w:fill="FFFFFF"/>
        </w:rPr>
        <w:t>年度收入合计</w:t>
      </w:r>
      <w:r>
        <w:rPr>
          <w:rFonts w:ascii="Times New Roman" w:hAnsi="Times New Roman" w:eastAsia="方正仿宋_GBK" w:cs="Times New Roman"/>
          <w:sz w:val="32"/>
          <w:szCs w:val="32"/>
          <w:shd w:val="clear" w:color="auto" w:fill="FFFFFF"/>
        </w:rPr>
        <w:t>627.46</w:t>
      </w:r>
      <w:r>
        <w:rPr>
          <w:rFonts w:hint="eastAsia" w:ascii="方正仿宋_GBK" w:eastAsia="方正仿宋_GBK"/>
          <w:sz w:val="32"/>
          <w:szCs w:val="32"/>
          <w:shd w:val="clear" w:color="auto" w:fill="FFFFFF"/>
        </w:rPr>
        <w:t>万元，较上年决算数增加</w:t>
      </w:r>
      <w:r>
        <w:rPr>
          <w:rFonts w:ascii="Times New Roman" w:hAnsi="Times New Roman" w:eastAsia="方正仿宋_GBK" w:cs="Times New Roman"/>
          <w:sz w:val="32"/>
          <w:szCs w:val="32"/>
          <w:shd w:val="clear" w:color="auto" w:fill="FFFFFF"/>
        </w:rPr>
        <w:t>242.43</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63%</w:t>
      </w:r>
      <w:r>
        <w:rPr>
          <w:rFonts w:hint="eastAsia" w:ascii="方正仿宋_GBK" w:eastAsia="方正仿宋_GBK"/>
          <w:sz w:val="32"/>
          <w:szCs w:val="32"/>
          <w:shd w:val="clear" w:color="auto" w:fill="FFFFFF"/>
        </w:rPr>
        <w:t>，主要原因是本年度项目投入增加。其中：财政拨款收入</w:t>
      </w:r>
      <w:r>
        <w:rPr>
          <w:rFonts w:ascii="Times New Roman" w:hAnsi="Times New Roman" w:eastAsia="方正仿宋_GBK" w:cs="Times New Roman"/>
          <w:sz w:val="32"/>
          <w:szCs w:val="32"/>
          <w:shd w:val="clear" w:color="auto" w:fill="FFFFFF"/>
        </w:rPr>
        <w:t>559.75</w:t>
      </w:r>
      <w:r>
        <w:rPr>
          <w:rFonts w:hint="eastAsia" w:ascii="方正仿宋_GBK" w:eastAsia="方正仿宋_GBK"/>
          <w:sz w:val="32"/>
          <w:szCs w:val="32"/>
          <w:shd w:val="clear" w:color="auto" w:fill="FFFFFF"/>
        </w:rPr>
        <w:t>万元，占</w:t>
      </w:r>
      <w:r>
        <w:rPr>
          <w:rFonts w:ascii="Times New Roman" w:hAnsi="Times New Roman" w:eastAsia="方正仿宋_GBK" w:cs="Times New Roman"/>
          <w:sz w:val="32"/>
          <w:szCs w:val="32"/>
          <w:shd w:val="clear" w:color="auto" w:fill="FFFFFF"/>
        </w:rPr>
        <w:t>89.2%</w:t>
      </w:r>
      <w:r>
        <w:rPr>
          <w:rFonts w:hint="eastAsia" w:ascii="方正仿宋_GBK" w:eastAsia="方正仿宋_GBK"/>
          <w:sz w:val="32"/>
          <w:szCs w:val="32"/>
          <w:shd w:val="clear" w:color="auto" w:fill="FFFFFF"/>
        </w:rPr>
        <w:t>；其他收入</w:t>
      </w:r>
      <w:r>
        <w:rPr>
          <w:rFonts w:ascii="Times New Roman" w:hAnsi="Times New Roman" w:eastAsia="方正仿宋_GBK" w:cs="Times New Roman"/>
          <w:sz w:val="32"/>
          <w:szCs w:val="32"/>
          <w:shd w:val="clear" w:color="auto" w:fill="FFFFFF"/>
        </w:rPr>
        <w:t>67.71</w:t>
      </w:r>
      <w:r>
        <w:rPr>
          <w:rFonts w:hint="eastAsia" w:ascii="方正仿宋_GBK" w:eastAsia="方正仿宋_GBK"/>
          <w:sz w:val="32"/>
          <w:szCs w:val="32"/>
          <w:shd w:val="clear" w:color="auto" w:fill="FFFFFF"/>
        </w:rPr>
        <w:t>万元，占</w:t>
      </w:r>
      <w:r>
        <w:rPr>
          <w:rFonts w:ascii="Times New Roman" w:hAnsi="Times New Roman" w:eastAsia="方正仿宋_GBK" w:cs="Times New Roman"/>
          <w:sz w:val="32"/>
          <w:szCs w:val="32"/>
          <w:shd w:val="clear" w:color="auto" w:fill="FFFFFF"/>
        </w:rPr>
        <w:t>10.8%</w:t>
      </w:r>
      <w:r>
        <w:rPr>
          <w:rFonts w:hint="eastAsia" w:ascii="方正仿宋_GBK" w:eastAsia="方正仿宋_GBK"/>
          <w:sz w:val="32"/>
          <w:szCs w:val="32"/>
          <w:shd w:val="clear" w:color="auto" w:fill="FFFFFF"/>
        </w:rPr>
        <w:t>。此外，年初结转和结余</w:t>
      </w:r>
      <w:r>
        <w:rPr>
          <w:rFonts w:ascii="Times New Roman" w:hAnsi="Times New Roman" w:eastAsia="方正仿宋_GBK" w:cs="Times New Roman"/>
          <w:sz w:val="32"/>
          <w:szCs w:val="32"/>
          <w:shd w:val="clear" w:color="auto" w:fill="FFFFFF"/>
        </w:rPr>
        <w:t>0.84</w:t>
      </w:r>
      <w:r>
        <w:rPr>
          <w:rFonts w:hint="eastAsia" w:ascii="方正仿宋_GBK" w:eastAsia="方正仿宋_GBK"/>
          <w:sz w:val="32"/>
          <w:szCs w:val="32"/>
          <w:shd w:val="clear" w:color="auto" w:fill="FFFFFF"/>
        </w:rPr>
        <w:t>万元。</w:t>
      </w:r>
    </w:p>
    <w:p w14:paraId="6B3D2B93">
      <w:pPr>
        <w:pStyle w:val="4"/>
        <w:autoSpaceDE w:val="0"/>
        <w:spacing w:before="0" w:beforeAutospacing="0" w:after="0" w:afterAutospacing="0" w:line="579" w:lineRule="exact"/>
        <w:ind w:firstLine="643" w:firstLineChars="200"/>
        <w:jc w:val="both"/>
        <w:rPr>
          <w:rFonts w:ascii="Times New Roman" w:hAnsi="Times New Roman" w:eastAsia="方正仿宋_GBK" w:cs="Times New Roman"/>
          <w:sz w:val="32"/>
          <w:szCs w:val="32"/>
          <w:shd w:val="clear" w:color="auto" w:fill="FFFFFF"/>
        </w:rPr>
      </w:pPr>
      <w:r>
        <w:rPr>
          <w:rStyle w:val="6"/>
          <w:rFonts w:eastAsia="方正仿宋_GBK"/>
          <w:sz w:val="32"/>
          <w:szCs w:val="32"/>
          <w:shd w:val="clear" w:color="auto" w:fill="FFFFFF"/>
        </w:rPr>
        <w:t>3.</w:t>
      </w:r>
      <w:r>
        <w:rPr>
          <w:rStyle w:val="6"/>
          <w:rFonts w:hint="eastAsia" w:ascii="方正仿宋_GBK" w:eastAsia="方正仿宋_GBK"/>
          <w:sz w:val="32"/>
          <w:szCs w:val="32"/>
          <w:shd w:val="clear" w:color="auto" w:fill="FFFFFF"/>
        </w:rPr>
        <w:t>支出情况。</w:t>
      </w:r>
      <w:r>
        <w:rPr>
          <w:rFonts w:ascii="Times New Roman" w:hAnsi="Times New Roman" w:eastAsia="方正仿宋_GBK" w:cs="Times New Roman"/>
          <w:sz w:val="32"/>
          <w:szCs w:val="32"/>
          <w:shd w:val="clear" w:color="auto" w:fill="FFFFFF"/>
        </w:rPr>
        <w:t>2022</w:t>
      </w:r>
      <w:r>
        <w:rPr>
          <w:rFonts w:hint="eastAsia" w:ascii="方正仿宋_GBK" w:eastAsia="方正仿宋_GBK"/>
          <w:sz w:val="32"/>
          <w:szCs w:val="32"/>
          <w:shd w:val="clear" w:color="auto" w:fill="FFFFFF"/>
        </w:rPr>
        <w:t>年度支出合计</w:t>
      </w:r>
      <w:r>
        <w:rPr>
          <w:rFonts w:ascii="Times New Roman" w:hAnsi="Times New Roman" w:eastAsia="方正仿宋_GBK" w:cs="Times New Roman"/>
          <w:sz w:val="32"/>
          <w:szCs w:val="32"/>
          <w:shd w:val="clear" w:color="auto" w:fill="FFFFFF"/>
        </w:rPr>
        <w:t>619.34</w:t>
      </w:r>
      <w:r>
        <w:rPr>
          <w:rFonts w:hint="eastAsia" w:ascii="方正仿宋_GBK" w:eastAsia="方正仿宋_GBK"/>
          <w:sz w:val="32"/>
          <w:szCs w:val="32"/>
          <w:shd w:val="clear" w:color="auto" w:fill="FFFFFF"/>
        </w:rPr>
        <w:t>万元，较上年决算增加</w:t>
      </w:r>
      <w:r>
        <w:rPr>
          <w:rFonts w:ascii="Times New Roman" w:hAnsi="Times New Roman" w:eastAsia="方正仿宋_GBK" w:cs="Times New Roman"/>
          <w:sz w:val="32"/>
          <w:szCs w:val="32"/>
          <w:shd w:val="clear" w:color="auto" w:fill="FFFFFF"/>
        </w:rPr>
        <w:t>234.31</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60.9%</w:t>
      </w:r>
      <w:r>
        <w:rPr>
          <w:rFonts w:hint="eastAsia" w:ascii="方正仿宋_GBK" w:eastAsia="方正仿宋_GBK"/>
          <w:sz w:val="32"/>
          <w:szCs w:val="32"/>
          <w:shd w:val="clear" w:color="auto" w:fill="FFFFFF"/>
        </w:rPr>
        <w:t>，主要原因是本年度项目投入增加。其中：基本支出</w:t>
      </w:r>
      <w:r>
        <w:rPr>
          <w:rFonts w:ascii="Times New Roman" w:hAnsi="Times New Roman" w:eastAsia="方正仿宋_GBK" w:cs="Times New Roman"/>
          <w:sz w:val="32"/>
          <w:szCs w:val="32"/>
          <w:shd w:val="clear" w:color="auto" w:fill="FFFFFF"/>
        </w:rPr>
        <w:t>321.55</w:t>
      </w:r>
      <w:r>
        <w:rPr>
          <w:rFonts w:hint="eastAsia" w:ascii="方正仿宋_GBK" w:eastAsia="方正仿宋_GBK"/>
          <w:sz w:val="32"/>
          <w:szCs w:val="32"/>
          <w:shd w:val="clear" w:color="auto" w:fill="FFFFFF"/>
        </w:rPr>
        <w:t>万元，占</w:t>
      </w:r>
      <w:r>
        <w:rPr>
          <w:rFonts w:ascii="Times New Roman" w:hAnsi="Times New Roman" w:eastAsia="方正仿宋_GBK" w:cs="Times New Roman"/>
          <w:sz w:val="32"/>
          <w:szCs w:val="32"/>
          <w:shd w:val="clear" w:color="auto" w:fill="FFFFFF"/>
        </w:rPr>
        <w:t>51.9%</w:t>
      </w:r>
      <w:r>
        <w:rPr>
          <w:rFonts w:hint="eastAsia" w:ascii="方正仿宋_GBK" w:eastAsia="方正仿宋_GBK"/>
          <w:sz w:val="32"/>
          <w:szCs w:val="32"/>
          <w:shd w:val="clear" w:color="auto" w:fill="FFFFFF"/>
        </w:rPr>
        <w:t>；项目支出</w:t>
      </w:r>
      <w:r>
        <w:rPr>
          <w:rFonts w:ascii="Times New Roman" w:hAnsi="Times New Roman" w:eastAsia="方正仿宋_GBK" w:cs="Times New Roman"/>
          <w:sz w:val="32"/>
          <w:szCs w:val="32"/>
          <w:shd w:val="clear" w:color="auto" w:fill="FFFFFF"/>
        </w:rPr>
        <w:t>297.79</w:t>
      </w:r>
      <w:r>
        <w:rPr>
          <w:rFonts w:hint="eastAsia" w:ascii="方正仿宋_GBK" w:eastAsia="方正仿宋_GBK"/>
          <w:sz w:val="32"/>
          <w:szCs w:val="32"/>
          <w:shd w:val="clear" w:color="auto" w:fill="FFFFFF"/>
        </w:rPr>
        <w:t>万元，占</w:t>
      </w:r>
      <w:r>
        <w:rPr>
          <w:rFonts w:ascii="Times New Roman" w:hAnsi="Times New Roman" w:eastAsia="方正仿宋_GBK" w:cs="Times New Roman"/>
          <w:sz w:val="32"/>
          <w:szCs w:val="32"/>
          <w:shd w:val="clear" w:color="auto" w:fill="FFFFFF"/>
        </w:rPr>
        <w:t>48.1%</w:t>
      </w:r>
      <w:r>
        <w:rPr>
          <w:rFonts w:hint="eastAsia" w:ascii="方正仿宋_GBK" w:eastAsia="方正仿宋_GBK"/>
          <w:sz w:val="32"/>
          <w:szCs w:val="32"/>
          <w:shd w:val="clear" w:color="auto" w:fill="FFFFFF"/>
        </w:rPr>
        <w:t>。</w:t>
      </w:r>
    </w:p>
    <w:p w14:paraId="7C25E4CB">
      <w:pPr>
        <w:pStyle w:val="4"/>
        <w:autoSpaceDE w:val="0"/>
        <w:spacing w:before="0" w:beforeAutospacing="0" w:after="0" w:afterAutospacing="0" w:line="579" w:lineRule="exact"/>
        <w:ind w:firstLine="643" w:firstLineChars="200"/>
        <w:jc w:val="both"/>
        <w:rPr>
          <w:rFonts w:ascii="Times New Roman" w:hAnsi="Times New Roman" w:eastAsia="方正仿宋_GBK" w:cs="Times New Roman"/>
          <w:sz w:val="32"/>
          <w:szCs w:val="32"/>
        </w:rPr>
      </w:pPr>
      <w:r>
        <w:rPr>
          <w:rStyle w:val="6"/>
          <w:rFonts w:eastAsia="方正仿宋_GBK"/>
          <w:sz w:val="32"/>
          <w:szCs w:val="32"/>
          <w:shd w:val="clear" w:color="auto" w:fill="FFFFFF"/>
        </w:rPr>
        <w:t>4.</w:t>
      </w:r>
      <w:r>
        <w:rPr>
          <w:rStyle w:val="6"/>
          <w:rFonts w:hint="eastAsia" w:ascii="方正仿宋_GBK" w:eastAsia="方正仿宋_GBK"/>
          <w:sz w:val="32"/>
          <w:szCs w:val="32"/>
          <w:shd w:val="clear" w:color="auto" w:fill="FFFFFF"/>
        </w:rPr>
        <w:t>结转结余情况。</w:t>
      </w:r>
      <w:r>
        <w:rPr>
          <w:rFonts w:ascii="Times New Roman" w:hAnsi="Times New Roman" w:eastAsia="方正仿宋_GBK" w:cs="Times New Roman"/>
          <w:sz w:val="32"/>
          <w:szCs w:val="32"/>
          <w:shd w:val="clear" w:color="auto" w:fill="FFFFFF"/>
        </w:rPr>
        <w:t>2022</w:t>
      </w:r>
      <w:r>
        <w:rPr>
          <w:rFonts w:hint="eastAsia" w:ascii="方正仿宋_GBK" w:eastAsia="方正仿宋_GBK"/>
          <w:sz w:val="32"/>
          <w:szCs w:val="32"/>
          <w:shd w:val="clear" w:color="auto" w:fill="FFFFFF"/>
        </w:rPr>
        <w:t>年度年末结转和结余</w:t>
      </w:r>
      <w:r>
        <w:rPr>
          <w:rFonts w:ascii="Times New Roman" w:hAnsi="Times New Roman" w:eastAsia="方正仿宋_GBK" w:cs="Times New Roman"/>
          <w:sz w:val="32"/>
          <w:szCs w:val="32"/>
          <w:shd w:val="clear" w:color="auto" w:fill="FFFFFF"/>
        </w:rPr>
        <w:t>8.96</w:t>
      </w:r>
      <w:r>
        <w:rPr>
          <w:rFonts w:hint="eastAsia" w:ascii="方正仿宋_GBK" w:eastAsia="方正仿宋_GBK"/>
          <w:sz w:val="32"/>
          <w:szCs w:val="32"/>
          <w:shd w:val="clear" w:color="auto" w:fill="FFFFFF"/>
        </w:rPr>
        <w:t>万元，较上年决算数增加</w:t>
      </w:r>
      <w:r>
        <w:rPr>
          <w:rFonts w:ascii="Times New Roman" w:hAnsi="Times New Roman" w:eastAsia="方正仿宋_GBK" w:cs="Times New Roman"/>
          <w:sz w:val="32"/>
          <w:szCs w:val="32"/>
          <w:shd w:val="clear" w:color="auto" w:fill="FFFFFF"/>
        </w:rPr>
        <w:t>8.96</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，主要原因是部分事项未达到支付条件，来年支付。</w:t>
      </w:r>
    </w:p>
    <w:p w14:paraId="59D5B2EC">
      <w:pPr>
        <w:pStyle w:val="4"/>
        <w:autoSpaceDE w:val="0"/>
        <w:spacing w:before="0" w:beforeAutospacing="0" w:after="0" w:afterAutospacing="0" w:line="579" w:lineRule="exact"/>
        <w:ind w:firstLine="640" w:firstLineChars="200"/>
        <w:jc w:val="both"/>
        <w:rPr>
          <w:rFonts w:ascii="Times New Roman" w:hAnsi="Times New Roman" w:eastAsia="方正楷体_GBK" w:cs="Times New Roman"/>
          <w:sz w:val="32"/>
          <w:szCs w:val="32"/>
          <w:shd w:val="clear" w:color="auto" w:fill="FFFFFF"/>
        </w:rPr>
      </w:pPr>
      <w:r>
        <w:rPr>
          <w:rStyle w:val="6"/>
          <w:rFonts w:hint="eastAsia" w:ascii="方正楷体_GBK" w:eastAsia="方正楷体_GBK"/>
          <w:b w:val="0"/>
          <w:bCs w:val="0"/>
          <w:sz w:val="32"/>
          <w:szCs w:val="32"/>
          <w:shd w:val="clear" w:color="auto" w:fill="FFFFFF"/>
        </w:rPr>
        <w:t>（二）财政拨款收入支出决算总体情况说明</w:t>
      </w:r>
    </w:p>
    <w:p w14:paraId="45AAB866">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2022</w:t>
      </w:r>
      <w:r>
        <w:rPr>
          <w:rFonts w:hint="eastAsia" w:ascii="方正仿宋_GBK" w:eastAsia="方正仿宋_GBK"/>
          <w:sz w:val="32"/>
          <w:szCs w:val="32"/>
          <w:shd w:val="clear" w:color="auto" w:fill="FFFFFF"/>
        </w:rPr>
        <w:t>年度财政拨款收、支总计</w:t>
      </w:r>
      <w:r>
        <w:rPr>
          <w:rFonts w:ascii="Times New Roman" w:hAnsi="Times New Roman" w:eastAsia="方正仿宋_GBK" w:cs="Times New Roman"/>
          <w:sz w:val="32"/>
          <w:szCs w:val="32"/>
          <w:shd w:val="clear" w:color="auto" w:fill="FFFFFF"/>
        </w:rPr>
        <w:t>559.75</w:t>
      </w:r>
      <w:r>
        <w:rPr>
          <w:rFonts w:hint="eastAsia" w:ascii="方正仿宋_GBK" w:eastAsia="方正仿宋_GBK"/>
          <w:sz w:val="32"/>
          <w:szCs w:val="32"/>
          <w:shd w:val="clear" w:color="auto" w:fill="FFFFFF"/>
        </w:rPr>
        <w:t>万元。与</w:t>
      </w:r>
      <w:r>
        <w:rPr>
          <w:rFonts w:ascii="Times New Roman" w:hAnsi="Times New Roman" w:eastAsia="方正仿宋_GBK" w:cs="Times New Roman"/>
          <w:sz w:val="32"/>
          <w:szCs w:val="32"/>
          <w:shd w:val="clear" w:color="auto" w:fill="FFFFFF"/>
        </w:rPr>
        <w:t>2021</w:t>
      </w:r>
      <w:r>
        <w:rPr>
          <w:rFonts w:hint="eastAsia" w:ascii="方正仿宋_GBK" w:eastAsia="方正仿宋_GBK"/>
          <w:sz w:val="32"/>
          <w:szCs w:val="32"/>
          <w:shd w:val="clear" w:color="auto" w:fill="FFFFFF"/>
        </w:rPr>
        <w:t>年相比，财政拨款收、支总计各增加</w:t>
      </w:r>
      <w:r>
        <w:rPr>
          <w:rFonts w:ascii="Times New Roman" w:hAnsi="Times New Roman" w:eastAsia="方正仿宋_GBK" w:cs="Times New Roman"/>
          <w:sz w:val="32"/>
          <w:szCs w:val="32"/>
          <w:shd w:val="clear" w:color="auto" w:fill="FFFFFF"/>
        </w:rPr>
        <w:t>174.72</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45.4%</w:t>
      </w:r>
      <w:r>
        <w:rPr>
          <w:rFonts w:hint="eastAsia" w:ascii="方正仿宋_GBK" w:eastAsia="方正仿宋_GBK"/>
          <w:sz w:val="32"/>
          <w:szCs w:val="32"/>
          <w:shd w:val="clear" w:color="auto" w:fill="FFFFFF"/>
        </w:rPr>
        <w:t>。主要原因是本年度项目投入增加。</w:t>
      </w:r>
    </w:p>
    <w:p w14:paraId="18718AA1">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（三）一般公共预算财政拨款收入支出决算情况说明</w:t>
      </w:r>
    </w:p>
    <w:p w14:paraId="6FF1A613">
      <w:pPr>
        <w:pStyle w:val="4"/>
        <w:autoSpaceDE w:val="0"/>
        <w:spacing w:before="0" w:beforeAutospacing="0" w:after="0" w:afterAutospacing="0" w:line="579" w:lineRule="exact"/>
        <w:ind w:firstLine="643" w:firstLineChars="200"/>
        <w:jc w:val="both"/>
        <w:rPr>
          <w:rFonts w:ascii="Times New Roman" w:hAnsi="Times New Roman" w:eastAsia="方正仿宋_GBK" w:cs="Times New Roman"/>
          <w:sz w:val="32"/>
          <w:szCs w:val="32"/>
        </w:rPr>
      </w:pPr>
      <w:r>
        <w:rPr>
          <w:rStyle w:val="6"/>
          <w:rFonts w:eastAsia="方正仿宋_GBK"/>
          <w:sz w:val="32"/>
          <w:szCs w:val="32"/>
          <w:shd w:val="clear" w:color="auto" w:fill="FFFFFF"/>
        </w:rPr>
        <w:t>1.</w:t>
      </w:r>
      <w:r>
        <w:rPr>
          <w:rStyle w:val="6"/>
          <w:rFonts w:hint="eastAsia" w:ascii="方正仿宋_GBK" w:eastAsia="方正仿宋_GBK"/>
          <w:sz w:val="32"/>
          <w:szCs w:val="32"/>
          <w:shd w:val="clear" w:color="auto" w:fill="FFFFFF"/>
        </w:rPr>
        <w:t>收入情况。</w:t>
      </w:r>
      <w:r>
        <w:rPr>
          <w:rFonts w:ascii="Times New Roman" w:hAnsi="Times New Roman" w:eastAsia="方正仿宋_GBK" w:cs="Times New Roman"/>
          <w:sz w:val="32"/>
          <w:szCs w:val="32"/>
          <w:shd w:val="clear" w:color="auto" w:fill="FFFFFF"/>
        </w:rPr>
        <w:t>2022</w:t>
      </w:r>
      <w:r>
        <w:rPr>
          <w:rFonts w:hint="eastAsia" w:ascii="方正仿宋_GBK" w:eastAsia="方正仿宋_GBK"/>
          <w:sz w:val="32"/>
          <w:szCs w:val="32"/>
          <w:shd w:val="clear" w:color="auto" w:fill="FFFFFF"/>
        </w:rPr>
        <w:t>年度一般公共预算财政拨款收入</w:t>
      </w:r>
      <w:r>
        <w:rPr>
          <w:rFonts w:ascii="Times New Roman" w:hAnsi="Times New Roman" w:eastAsia="方正仿宋_GBK" w:cs="Times New Roman"/>
          <w:sz w:val="32"/>
          <w:szCs w:val="32"/>
          <w:shd w:val="clear" w:color="auto" w:fill="FFFFFF"/>
        </w:rPr>
        <w:t>559.75</w:t>
      </w:r>
      <w:r>
        <w:rPr>
          <w:rFonts w:hint="eastAsia" w:ascii="方正仿宋_GBK" w:eastAsia="方正仿宋_GBK"/>
          <w:sz w:val="32"/>
          <w:szCs w:val="32"/>
          <w:shd w:val="clear" w:color="auto" w:fill="FFFFFF"/>
        </w:rPr>
        <w:t>万元，较上年决算数增加</w:t>
      </w:r>
      <w:r>
        <w:rPr>
          <w:rFonts w:ascii="Times New Roman" w:hAnsi="Times New Roman" w:eastAsia="方正仿宋_GBK" w:cs="Times New Roman"/>
          <w:sz w:val="32"/>
          <w:szCs w:val="32"/>
          <w:shd w:val="clear" w:color="auto" w:fill="FFFFFF"/>
        </w:rPr>
        <w:t>174.72</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45.4%</w:t>
      </w:r>
      <w:r>
        <w:rPr>
          <w:rFonts w:hint="eastAsia" w:ascii="方正仿宋_GBK" w:eastAsia="方正仿宋_GBK"/>
          <w:sz w:val="32"/>
          <w:szCs w:val="32"/>
          <w:shd w:val="clear" w:color="auto" w:fill="FFFFFF"/>
        </w:rPr>
        <w:t>。主要原因是本年度项目投入增加。较年初预算数增加</w:t>
      </w:r>
      <w:r>
        <w:rPr>
          <w:rFonts w:ascii="Times New Roman" w:hAnsi="Times New Roman" w:eastAsia="方正仿宋_GBK" w:cs="Times New Roman"/>
          <w:sz w:val="32"/>
          <w:szCs w:val="32"/>
          <w:shd w:val="clear" w:color="auto" w:fill="FFFFFF"/>
        </w:rPr>
        <w:t>255.61</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84%</w:t>
      </w:r>
      <w:r>
        <w:rPr>
          <w:rFonts w:hint="eastAsia" w:ascii="方正仿宋_GBK" w:eastAsia="方正仿宋_GBK"/>
          <w:sz w:val="32"/>
          <w:szCs w:val="32"/>
          <w:shd w:val="clear" w:color="auto" w:fill="FFFFFF"/>
        </w:rPr>
        <w:t>。主要原因是年中追加项目经费。此外，年初财政拨款结转和结余</w:t>
      </w:r>
      <w:r>
        <w:rPr>
          <w:rFonts w:ascii="Times New Roman" w:hAnsi="Times New Roman" w:eastAsia="方正仿宋_GBK" w:cs="Times New Roman"/>
          <w:sz w:val="32"/>
          <w:szCs w:val="32"/>
          <w:shd w:val="clear" w:color="auto" w:fill="FFFFFF"/>
        </w:rPr>
        <w:t>0.00</w:t>
      </w:r>
      <w:r>
        <w:rPr>
          <w:rFonts w:hint="eastAsia" w:ascii="方正仿宋_GBK" w:eastAsia="方正仿宋_GBK"/>
          <w:sz w:val="32"/>
          <w:szCs w:val="32"/>
          <w:shd w:val="clear" w:color="auto" w:fill="FFFFFF"/>
        </w:rPr>
        <w:t>万元。</w:t>
      </w:r>
    </w:p>
    <w:p w14:paraId="1C9B371F">
      <w:pPr>
        <w:pStyle w:val="4"/>
        <w:autoSpaceDE w:val="0"/>
        <w:spacing w:before="0" w:beforeAutospacing="0" w:after="0" w:afterAutospacing="0" w:line="579" w:lineRule="exact"/>
        <w:ind w:firstLine="643" w:firstLineChars="200"/>
        <w:jc w:val="both"/>
        <w:rPr>
          <w:rFonts w:ascii="Times New Roman" w:hAnsi="Times New Roman" w:eastAsia="方正仿宋_GBK" w:cs="Times New Roman"/>
          <w:sz w:val="32"/>
          <w:szCs w:val="32"/>
        </w:rPr>
      </w:pPr>
      <w:r>
        <w:rPr>
          <w:rStyle w:val="6"/>
          <w:rFonts w:eastAsia="方正仿宋_GBK"/>
          <w:sz w:val="32"/>
          <w:szCs w:val="32"/>
          <w:shd w:val="clear" w:color="auto" w:fill="FFFFFF"/>
        </w:rPr>
        <w:t>2.</w:t>
      </w:r>
      <w:r>
        <w:rPr>
          <w:rStyle w:val="6"/>
          <w:rFonts w:hint="eastAsia" w:ascii="方正仿宋_GBK" w:eastAsia="方正仿宋_GBK"/>
          <w:sz w:val="32"/>
          <w:szCs w:val="32"/>
          <w:shd w:val="clear" w:color="auto" w:fill="FFFFFF"/>
        </w:rPr>
        <w:t>支出情况。</w:t>
      </w:r>
      <w:r>
        <w:rPr>
          <w:rFonts w:ascii="Times New Roman" w:hAnsi="Times New Roman" w:eastAsia="方正仿宋_GBK" w:cs="Times New Roman"/>
          <w:sz w:val="32"/>
          <w:szCs w:val="32"/>
          <w:shd w:val="clear" w:color="auto" w:fill="FFFFFF"/>
        </w:rPr>
        <w:t>2022</w:t>
      </w:r>
      <w:r>
        <w:rPr>
          <w:rFonts w:hint="eastAsia" w:ascii="方正仿宋_GBK" w:eastAsia="方正仿宋_GBK"/>
          <w:sz w:val="32"/>
          <w:szCs w:val="32"/>
          <w:shd w:val="clear" w:color="auto" w:fill="FFFFFF"/>
        </w:rPr>
        <w:t>年度一般公共预算财政拨款支出</w:t>
      </w:r>
      <w:r>
        <w:rPr>
          <w:rFonts w:ascii="Times New Roman" w:hAnsi="Times New Roman" w:eastAsia="方正仿宋_GBK" w:cs="Times New Roman"/>
          <w:sz w:val="32"/>
          <w:szCs w:val="32"/>
          <w:shd w:val="clear" w:color="auto" w:fill="FFFFFF"/>
        </w:rPr>
        <w:t>559.75</w:t>
      </w:r>
      <w:r>
        <w:rPr>
          <w:rFonts w:hint="eastAsia" w:ascii="方正仿宋_GBK" w:eastAsia="方正仿宋_GBK"/>
          <w:sz w:val="32"/>
          <w:szCs w:val="32"/>
          <w:shd w:val="clear" w:color="auto" w:fill="FFFFFF"/>
        </w:rPr>
        <w:t>万元，较上年决算数增加</w:t>
      </w:r>
      <w:r>
        <w:rPr>
          <w:rFonts w:ascii="Times New Roman" w:hAnsi="Times New Roman" w:eastAsia="方正仿宋_GBK" w:cs="Times New Roman"/>
          <w:sz w:val="32"/>
          <w:szCs w:val="32"/>
          <w:shd w:val="clear" w:color="auto" w:fill="FFFFFF"/>
        </w:rPr>
        <w:t>174.72</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45.4%</w:t>
      </w:r>
      <w:r>
        <w:rPr>
          <w:rFonts w:hint="eastAsia" w:ascii="方正仿宋_GBK" w:eastAsia="方正仿宋_GBK"/>
          <w:sz w:val="32"/>
          <w:szCs w:val="32"/>
          <w:shd w:val="clear" w:color="auto" w:fill="FFFFFF"/>
        </w:rPr>
        <w:t>。主要原因是本年度项目投入增加。较年初预算数增加</w:t>
      </w:r>
      <w:r>
        <w:rPr>
          <w:rFonts w:ascii="Times New Roman" w:hAnsi="Times New Roman" w:eastAsia="方正仿宋_GBK" w:cs="Times New Roman"/>
          <w:sz w:val="32"/>
          <w:szCs w:val="32"/>
          <w:shd w:val="clear" w:color="auto" w:fill="FFFFFF"/>
        </w:rPr>
        <w:t>255.61</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84%</w:t>
      </w:r>
      <w:r>
        <w:rPr>
          <w:rFonts w:hint="eastAsia" w:ascii="方正仿宋_GBK" w:eastAsia="方正仿宋_GBK"/>
          <w:sz w:val="32"/>
          <w:szCs w:val="32"/>
          <w:shd w:val="clear" w:color="auto" w:fill="FFFFFF"/>
        </w:rPr>
        <w:t>。主要原因是年中追加项目经费。</w:t>
      </w:r>
    </w:p>
    <w:p w14:paraId="57277D60">
      <w:pPr>
        <w:pStyle w:val="4"/>
        <w:autoSpaceDE w:val="0"/>
        <w:spacing w:before="0" w:beforeAutospacing="0" w:after="0" w:afterAutospacing="0" w:line="579" w:lineRule="exact"/>
        <w:ind w:firstLine="643" w:firstLineChars="200"/>
        <w:jc w:val="both"/>
        <w:rPr>
          <w:rFonts w:ascii="Times New Roman" w:hAnsi="Times New Roman" w:eastAsia="方正仿宋_GBK" w:cs="Times New Roman"/>
          <w:sz w:val="32"/>
          <w:szCs w:val="32"/>
        </w:rPr>
      </w:pPr>
      <w:r>
        <w:rPr>
          <w:rStyle w:val="6"/>
          <w:rFonts w:eastAsia="方正仿宋_GBK"/>
          <w:sz w:val="32"/>
          <w:szCs w:val="32"/>
          <w:shd w:val="clear" w:color="auto" w:fill="FFFFFF"/>
        </w:rPr>
        <w:t>3.</w:t>
      </w:r>
      <w:r>
        <w:rPr>
          <w:rStyle w:val="6"/>
          <w:rFonts w:hint="eastAsia" w:ascii="方正仿宋_GBK" w:eastAsia="方正仿宋_GBK"/>
          <w:sz w:val="32"/>
          <w:szCs w:val="32"/>
          <w:shd w:val="clear" w:color="auto" w:fill="FFFFFF"/>
        </w:rPr>
        <w:t>结转结余情况。</w:t>
      </w:r>
      <w:r>
        <w:rPr>
          <w:rFonts w:ascii="Times New Roman" w:hAnsi="Times New Roman" w:eastAsia="方正仿宋_GBK" w:cs="Times New Roman"/>
          <w:sz w:val="32"/>
          <w:szCs w:val="32"/>
          <w:shd w:val="clear" w:color="auto" w:fill="FFFFFF"/>
        </w:rPr>
        <w:t>2022</w:t>
      </w:r>
      <w:r>
        <w:rPr>
          <w:rFonts w:hint="eastAsia" w:ascii="方正仿宋_GBK" w:eastAsia="方正仿宋_GBK"/>
          <w:sz w:val="32"/>
          <w:szCs w:val="32"/>
          <w:shd w:val="clear" w:color="auto" w:fill="FFFFFF"/>
        </w:rPr>
        <w:t>年度年末一般公共预算财政拨款结转和结余</w:t>
      </w:r>
      <w:r>
        <w:rPr>
          <w:rFonts w:ascii="Times New Roman" w:hAnsi="Times New Roman" w:eastAsia="方正仿宋_GBK" w:cs="Times New Roman"/>
          <w:sz w:val="32"/>
          <w:szCs w:val="32"/>
          <w:shd w:val="clear" w:color="auto" w:fill="FFFFFF"/>
        </w:rPr>
        <w:t>0.00</w:t>
      </w:r>
      <w:r>
        <w:rPr>
          <w:rFonts w:hint="eastAsia" w:ascii="方正仿宋_GBK" w:eastAsia="方正仿宋_GBK"/>
          <w:sz w:val="32"/>
          <w:szCs w:val="32"/>
          <w:shd w:val="clear" w:color="auto" w:fill="FFFFFF"/>
        </w:rPr>
        <w:t>万元，较上年决算数增加</w:t>
      </w:r>
      <w:r>
        <w:rPr>
          <w:rFonts w:ascii="Times New Roman" w:hAnsi="Times New Roman" w:eastAsia="方正仿宋_GBK" w:cs="Times New Roman"/>
          <w:sz w:val="32"/>
          <w:szCs w:val="32"/>
          <w:shd w:val="clear" w:color="auto" w:fill="FFFFFF"/>
        </w:rPr>
        <w:t>0.00</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w:t>
      </w:r>
    </w:p>
    <w:p w14:paraId="5F09DFC5">
      <w:pPr>
        <w:pStyle w:val="4"/>
        <w:autoSpaceDE w:val="0"/>
        <w:spacing w:before="0" w:beforeAutospacing="0" w:after="0" w:afterAutospacing="0" w:line="579" w:lineRule="exact"/>
        <w:ind w:firstLine="643" w:firstLineChars="200"/>
        <w:jc w:val="both"/>
        <w:rPr>
          <w:rFonts w:ascii="Times New Roman" w:hAnsi="Times New Roman" w:eastAsia="方正仿宋_GBK" w:cs="Times New Roman"/>
          <w:sz w:val="32"/>
          <w:szCs w:val="32"/>
          <w:shd w:val="clear" w:color="auto" w:fill="FFFFFF"/>
        </w:rPr>
      </w:pPr>
      <w:r>
        <w:rPr>
          <w:rStyle w:val="6"/>
          <w:rFonts w:eastAsia="方正仿宋_GBK"/>
          <w:sz w:val="32"/>
          <w:szCs w:val="32"/>
          <w:shd w:val="clear" w:color="auto" w:fill="FFFFFF"/>
        </w:rPr>
        <w:t>4.</w:t>
      </w:r>
      <w:r>
        <w:rPr>
          <w:rStyle w:val="6"/>
          <w:rFonts w:hint="eastAsia" w:ascii="方正仿宋_GBK" w:eastAsia="方正仿宋_GBK"/>
          <w:sz w:val="32"/>
          <w:szCs w:val="32"/>
          <w:shd w:val="clear" w:color="auto" w:fill="FFFFFF"/>
        </w:rPr>
        <w:t>比较情况。</w:t>
      </w:r>
      <w:r>
        <w:rPr>
          <w:rFonts w:hint="eastAsia" w:ascii="方正仿宋_GBK" w:eastAsia="方正仿宋_GBK"/>
          <w:sz w:val="32"/>
          <w:szCs w:val="32"/>
          <w:shd w:val="clear" w:color="auto" w:fill="FFFFFF"/>
        </w:rPr>
        <w:t>本部门</w:t>
      </w:r>
      <w:r>
        <w:rPr>
          <w:rFonts w:ascii="Times New Roman" w:hAnsi="Times New Roman" w:eastAsia="方正仿宋_GBK" w:cs="Times New Roman"/>
          <w:sz w:val="32"/>
          <w:szCs w:val="32"/>
          <w:shd w:val="clear" w:color="auto" w:fill="FFFFFF"/>
        </w:rPr>
        <w:t>2022</w:t>
      </w:r>
      <w:r>
        <w:rPr>
          <w:rFonts w:hint="eastAsia" w:ascii="方正仿宋_GBK" w:eastAsia="方正仿宋_GBK"/>
          <w:sz w:val="32"/>
          <w:szCs w:val="32"/>
          <w:shd w:val="clear" w:color="auto" w:fill="FFFFFF"/>
        </w:rPr>
        <w:t>年度一般公共预算财政拨款支出主要用于以下几个方面：</w:t>
      </w:r>
    </w:p>
    <w:p w14:paraId="3D70C892">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shd w:val="clear" w:color="auto" w:fill="FFFFFF"/>
        </w:rPr>
      </w:pPr>
      <w:r>
        <w:rPr>
          <w:rFonts w:hint="eastAsia" w:ascii="方正仿宋_GBK" w:eastAsia="方正仿宋_GBK"/>
          <w:sz w:val="32"/>
          <w:szCs w:val="32"/>
          <w:shd w:val="clear" w:color="auto" w:fill="FFFFFF"/>
        </w:rPr>
        <w:t>（</w:t>
      </w:r>
      <w:r>
        <w:rPr>
          <w:rFonts w:ascii="Times New Roman" w:hAnsi="Times New Roman" w:eastAsia="方正仿宋_GBK" w:cs="Times New Roman"/>
          <w:sz w:val="32"/>
          <w:szCs w:val="32"/>
          <w:shd w:val="clear" w:color="auto" w:fill="FFFFFF"/>
        </w:rPr>
        <w:t>1</w:t>
      </w:r>
      <w:r>
        <w:rPr>
          <w:rFonts w:hint="eastAsia" w:ascii="方正仿宋_GBK" w:eastAsia="方正仿宋_GBK"/>
          <w:sz w:val="32"/>
          <w:szCs w:val="32"/>
          <w:shd w:val="clear" w:color="auto" w:fill="FFFFFF"/>
        </w:rPr>
        <w:t>）一般公共服务支出</w:t>
      </w:r>
      <w:r>
        <w:rPr>
          <w:rFonts w:ascii="Times New Roman" w:hAnsi="Times New Roman" w:eastAsia="方正仿宋_GBK" w:cs="Times New Roman"/>
          <w:sz w:val="32"/>
          <w:szCs w:val="32"/>
          <w:shd w:val="clear" w:color="auto" w:fill="FFFFFF"/>
        </w:rPr>
        <w:t>494.59</w:t>
      </w:r>
      <w:r>
        <w:rPr>
          <w:rFonts w:hint="eastAsia" w:ascii="方正仿宋_GBK" w:eastAsia="方正仿宋_GBK"/>
          <w:sz w:val="32"/>
          <w:szCs w:val="32"/>
          <w:shd w:val="clear" w:color="auto" w:fill="FFFFFF"/>
        </w:rPr>
        <w:t>万元，占</w:t>
      </w:r>
      <w:r>
        <w:rPr>
          <w:rFonts w:ascii="Times New Roman" w:hAnsi="Times New Roman" w:eastAsia="方正仿宋_GBK" w:cs="Times New Roman"/>
          <w:sz w:val="32"/>
          <w:szCs w:val="32"/>
          <w:shd w:val="clear" w:color="auto" w:fill="FFFFFF"/>
        </w:rPr>
        <w:t>88.4%</w:t>
      </w:r>
      <w:r>
        <w:rPr>
          <w:rFonts w:hint="eastAsia" w:ascii="方正仿宋_GBK" w:eastAsia="方正仿宋_GBK"/>
          <w:sz w:val="32"/>
          <w:szCs w:val="32"/>
          <w:shd w:val="clear" w:color="auto" w:fill="FFFFFF"/>
        </w:rPr>
        <w:t>，较年初预算数增加</w:t>
      </w:r>
      <w:r>
        <w:rPr>
          <w:rFonts w:ascii="Times New Roman" w:hAnsi="Times New Roman" w:eastAsia="方正仿宋_GBK" w:cs="Times New Roman"/>
          <w:sz w:val="32"/>
          <w:szCs w:val="32"/>
          <w:shd w:val="clear" w:color="auto" w:fill="FFFFFF"/>
        </w:rPr>
        <w:t>255.61</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107%</w:t>
      </w:r>
      <w:r>
        <w:rPr>
          <w:rFonts w:hint="eastAsia" w:ascii="方正仿宋_GBK" w:eastAsia="方正仿宋_GBK"/>
          <w:sz w:val="32"/>
          <w:szCs w:val="32"/>
          <w:shd w:val="clear" w:color="auto" w:fill="FFFFFF"/>
        </w:rPr>
        <w:t>，主要原因是本年度项目投入增加。</w:t>
      </w:r>
    </w:p>
    <w:p w14:paraId="3A34804D">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hint="eastAsia" w:ascii="方正仿宋_GBK" w:eastAsia="方正仿宋_GBK"/>
          <w:sz w:val="32"/>
          <w:szCs w:val="32"/>
          <w:shd w:val="clear" w:color="auto" w:fill="FFFFFF"/>
        </w:rPr>
        <w:t>（</w:t>
      </w:r>
      <w:r>
        <w:rPr>
          <w:rFonts w:ascii="Times New Roman" w:hAnsi="Times New Roman" w:eastAsia="方正仿宋_GBK" w:cs="Times New Roman"/>
          <w:sz w:val="32"/>
          <w:szCs w:val="32"/>
          <w:shd w:val="clear" w:color="auto" w:fill="FFFFFF"/>
        </w:rPr>
        <w:t>2</w:t>
      </w:r>
      <w:r>
        <w:rPr>
          <w:rFonts w:hint="eastAsia" w:ascii="方正仿宋_GBK" w:eastAsia="方正仿宋_GBK"/>
          <w:sz w:val="32"/>
          <w:szCs w:val="32"/>
          <w:shd w:val="clear" w:color="auto" w:fill="FFFFFF"/>
        </w:rPr>
        <w:t>）社会保障与就业支出</w:t>
      </w:r>
      <w:r>
        <w:rPr>
          <w:rFonts w:ascii="Times New Roman" w:hAnsi="Times New Roman" w:eastAsia="方正仿宋_GBK" w:cs="Times New Roman"/>
          <w:sz w:val="32"/>
          <w:szCs w:val="32"/>
          <w:shd w:val="clear" w:color="auto" w:fill="FFFFFF"/>
        </w:rPr>
        <w:t>35.99</w:t>
      </w:r>
      <w:r>
        <w:rPr>
          <w:rFonts w:hint="eastAsia" w:ascii="方正仿宋_GBK" w:eastAsia="方正仿宋_GBK"/>
          <w:sz w:val="32"/>
          <w:szCs w:val="32"/>
          <w:shd w:val="clear" w:color="auto" w:fill="FFFFFF"/>
        </w:rPr>
        <w:t>万元，占</w:t>
      </w:r>
      <w:r>
        <w:rPr>
          <w:rFonts w:ascii="Times New Roman" w:hAnsi="Times New Roman" w:eastAsia="方正仿宋_GBK" w:cs="Times New Roman"/>
          <w:sz w:val="32"/>
          <w:szCs w:val="32"/>
          <w:shd w:val="clear" w:color="auto" w:fill="FFFFFF"/>
        </w:rPr>
        <w:t>6.4%</w:t>
      </w:r>
      <w:r>
        <w:rPr>
          <w:rFonts w:hint="eastAsia" w:ascii="方正仿宋_GBK" w:eastAsia="方正仿宋_GBK"/>
          <w:sz w:val="32"/>
          <w:szCs w:val="32"/>
          <w:shd w:val="clear" w:color="auto" w:fill="FFFFFF"/>
        </w:rPr>
        <w:t>，较年初预算数增加</w:t>
      </w:r>
      <w:r>
        <w:rPr>
          <w:rFonts w:ascii="Times New Roman" w:hAnsi="Times New Roman" w:eastAsia="方正仿宋_GBK" w:cs="Times New Roman"/>
          <w:sz w:val="32"/>
          <w:szCs w:val="32"/>
          <w:shd w:val="clear" w:color="auto" w:fill="FFFFFF"/>
        </w:rPr>
        <w:t>0.00</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w:t>
      </w:r>
    </w:p>
    <w:p w14:paraId="7F4535E6">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hint="eastAsia" w:ascii="方正仿宋_GBK" w:eastAsia="方正仿宋_GBK"/>
          <w:sz w:val="32"/>
          <w:szCs w:val="32"/>
          <w:shd w:val="clear" w:color="auto" w:fill="FFFFFF"/>
        </w:rPr>
        <w:t>（</w:t>
      </w:r>
      <w:r>
        <w:rPr>
          <w:rFonts w:ascii="Times New Roman" w:hAnsi="Times New Roman" w:eastAsia="方正仿宋_GBK" w:cs="Times New Roman"/>
          <w:sz w:val="32"/>
          <w:szCs w:val="32"/>
          <w:shd w:val="clear" w:color="auto" w:fill="FFFFFF"/>
        </w:rPr>
        <w:t>3</w:t>
      </w:r>
      <w:r>
        <w:rPr>
          <w:rFonts w:hint="eastAsia" w:ascii="方正仿宋_GBK" w:eastAsia="方正仿宋_GBK"/>
          <w:sz w:val="32"/>
          <w:szCs w:val="32"/>
          <w:shd w:val="clear" w:color="auto" w:fill="FFFFFF"/>
        </w:rPr>
        <w:t>）卫生健康支出</w:t>
      </w:r>
      <w:r>
        <w:rPr>
          <w:rFonts w:ascii="Times New Roman" w:hAnsi="Times New Roman" w:eastAsia="方正仿宋_GBK" w:cs="Times New Roman"/>
          <w:sz w:val="32"/>
          <w:szCs w:val="32"/>
          <w:shd w:val="clear" w:color="auto" w:fill="FFFFFF"/>
        </w:rPr>
        <w:t>13.47</w:t>
      </w:r>
      <w:r>
        <w:rPr>
          <w:rFonts w:hint="eastAsia" w:ascii="方正仿宋_GBK" w:eastAsia="方正仿宋_GBK"/>
          <w:sz w:val="32"/>
          <w:szCs w:val="32"/>
          <w:shd w:val="clear" w:color="auto" w:fill="FFFFFF"/>
        </w:rPr>
        <w:t>万元，占</w:t>
      </w:r>
      <w:r>
        <w:rPr>
          <w:rFonts w:ascii="Times New Roman" w:hAnsi="Times New Roman" w:eastAsia="方正仿宋_GBK" w:cs="Times New Roman"/>
          <w:sz w:val="32"/>
          <w:szCs w:val="32"/>
          <w:shd w:val="clear" w:color="auto" w:fill="FFFFFF"/>
        </w:rPr>
        <w:t>2.4%</w:t>
      </w:r>
      <w:r>
        <w:rPr>
          <w:rFonts w:hint="eastAsia" w:ascii="方正仿宋_GBK" w:eastAsia="方正仿宋_GBK"/>
          <w:sz w:val="32"/>
          <w:szCs w:val="32"/>
          <w:shd w:val="clear" w:color="auto" w:fill="FFFFFF"/>
        </w:rPr>
        <w:t>，较年初预算数增加</w:t>
      </w:r>
      <w:r>
        <w:rPr>
          <w:rFonts w:ascii="Times New Roman" w:hAnsi="Times New Roman" w:eastAsia="方正仿宋_GBK" w:cs="Times New Roman"/>
          <w:sz w:val="32"/>
          <w:szCs w:val="32"/>
          <w:shd w:val="clear" w:color="auto" w:fill="FFFFFF"/>
        </w:rPr>
        <w:t>0.00</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w:t>
      </w:r>
    </w:p>
    <w:p w14:paraId="525ABC32">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hint="eastAsia" w:ascii="方正仿宋_GBK" w:eastAsia="方正仿宋_GBK"/>
          <w:sz w:val="32"/>
          <w:szCs w:val="32"/>
          <w:shd w:val="clear" w:color="auto" w:fill="FFFFFF"/>
        </w:rPr>
        <w:t>（</w:t>
      </w:r>
      <w:r>
        <w:rPr>
          <w:rFonts w:ascii="Times New Roman" w:hAnsi="Times New Roman" w:eastAsia="方正仿宋_GBK" w:cs="Times New Roman"/>
          <w:sz w:val="32"/>
          <w:szCs w:val="32"/>
          <w:shd w:val="clear" w:color="auto" w:fill="FFFFFF"/>
        </w:rPr>
        <w:t>4</w:t>
      </w:r>
      <w:r>
        <w:rPr>
          <w:rFonts w:hint="eastAsia" w:ascii="方正仿宋_GBK" w:eastAsia="方正仿宋_GBK"/>
          <w:sz w:val="32"/>
          <w:szCs w:val="32"/>
          <w:shd w:val="clear" w:color="auto" w:fill="FFFFFF"/>
        </w:rPr>
        <w:t>）住房保障支出</w:t>
      </w:r>
      <w:r>
        <w:rPr>
          <w:rFonts w:ascii="Times New Roman" w:hAnsi="Times New Roman" w:eastAsia="方正仿宋_GBK" w:cs="Times New Roman"/>
          <w:sz w:val="32"/>
          <w:szCs w:val="32"/>
          <w:shd w:val="clear" w:color="auto" w:fill="FFFFFF"/>
        </w:rPr>
        <w:t>15.70</w:t>
      </w:r>
      <w:r>
        <w:rPr>
          <w:rFonts w:hint="eastAsia" w:ascii="方正仿宋_GBK" w:eastAsia="方正仿宋_GBK"/>
          <w:sz w:val="32"/>
          <w:szCs w:val="32"/>
          <w:shd w:val="clear" w:color="auto" w:fill="FFFFFF"/>
        </w:rPr>
        <w:t>万元，占</w:t>
      </w:r>
      <w:r>
        <w:rPr>
          <w:rFonts w:ascii="Times New Roman" w:hAnsi="Times New Roman" w:eastAsia="方正仿宋_GBK" w:cs="Times New Roman"/>
          <w:sz w:val="32"/>
          <w:szCs w:val="32"/>
          <w:shd w:val="clear" w:color="auto" w:fill="FFFFFF"/>
        </w:rPr>
        <w:t>2.8%</w:t>
      </w:r>
      <w:r>
        <w:rPr>
          <w:rFonts w:hint="eastAsia" w:ascii="方正仿宋_GBK" w:eastAsia="方正仿宋_GBK"/>
          <w:sz w:val="32"/>
          <w:szCs w:val="32"/>
          <w:shd w:val="clear" w:color="auto" w:fill="FFFFFF"/>
        </w:rPr>
        <w:t>，较年初预算数增加</w:t>
      </w:r>
      <w:r>
        <w:rPr>
          <w:rFonts w:ascii="Times New Roman" w:hAnsi="Times New Roman" w:eastAsia="方正仿宋_GBK" w:cs="Times New Roman"/>
          <w:sz w:val="32"/>
          <w:szCs w:val="32"/>
          <w:shd w:val="clear" w:color="auto" w:fill="FFFFFF"/>
        </w:rPr>
        <w:t>0.00</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w:t>
      </w:r>
    </w:p>
    <w:p w14:paraId="2253CD00">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（四）一般公共预算财政拨款基本支出决算情况说明</w:t>
      </w:r>
    </w:p>
    <w:p w14:paraId="134314E4">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2022</w:t>
      </w:r>
      <w:r>
        <w:rPr>
          <w:rFonts w:hint="eastAsia" w:ascii="方正仿宋_GBK" w:eastAsia="方正仿宋_GBK"/>
          <w:sz w:val="32"/>
          <w:szCs w:val="32"/>
          <w:shd w:val="clear" w:color="auto" w:fill="FFFFFF"/>
        </w:rPr>
        <w:t>年度一般公共预算财政拨款基本支出</w:t>
      </w:r>
      <w:r>
        <w:rPr>
          <w:rFonts w:ascii="Times New Roman" w:hAnsi="Times New Roman" w:eastAsia="方正仿宋_GBK" w:cs="Times New Roman"/>
          <w:sz w:val="32"/>
          <w:szCs w:val="32"/>
          <w:shd w:val="clear" w:color="auto" w:fill="FFFFFF"/>
        </w:rPr>
        <w:t>321.55</w:t>
      </w:r>
      <w:r>
        <w:rPr>
          <w:rFonts w:hint="eastAsia" w:ascii="方正仿宋_GBK" w:eastAsia="方正仿宋_GBK"/>
          <w:sz w:val="32"/>
          <w:szCs w:val="32"/>
          <w:shd w:val="clear" w:color="auto" w:fill="FFFFFF"/>
        </w:rPr>
        <w:t>万元。其中：人员经费</w:t>
      </w:r>
      <w:r>
        <w:rPr>
          <w:rFonts w:ascii="Times New Roman" w:hAnsi="Times New Roman" w:eastAsia="方正仿宋_GBK" w:cs="Times New Roman"/>
          <w:sz w:val="32"/>
          <w:szCs w:val="32"/>
          <w:shd w:val="clear" w:color="auto" w:fill="FFFFFF"/>
        </w:rPr>
        <w:t>299.62</w:t>
      </w:r>
      <w:r>
        <w:rPr>
          <w:rFonts w:hint="eastAsia" w:ascii="方正仿宋_GBK" w:eastAsia="方正仿宋_GBK"/>
          <w:sz w:val="32"/>
          <w:szCs w:val="32"/>
          <w:shd w:val="clear" w:color="auto" w:fill="FFFFFF"/>
        </w:rPr>
        <w:t>万元，较上年决算数减少</w:t>
      </w:r>
      <w:r>
        <w:rPr>
          <w:rFonts w:ascii="Times New Roman" w:hAnsi="Times New Roman" w:eastAsia="方正仿宋_GBK" w:cs="Times New Roman"/>
          <w:sz w:val="32"/>
          <w:szCs w:val="32"/>
          <w:shd w:val="clear" w:color="auto" w:fill="FFFFFF"/>
        </w:rPr>
        <w:t>18.81</w:t>
      </w:r>
      <w:r>
        <w:rPr>
          <w:rFonts w:hint="eastAsia" w:ascii="方正仿宋_GBK" w:eastAsia="方正仿宋_GBK"/>
          <w:sz w:val="32"/>
          <w:szCs w:val="32"/>
          <w:shd w:val="clear" w:color="auto" w:fill="FFFFFF"/>
        </w:rPr>
        <w:t>万元，下降</w:t>
      </w:r>
      <w:r>
        <w:rPr>
          <w:rFonts w:ascii="Times New Roman" w:hAnsi="Times New Roman" w:eastAsia="方正仿宋_GBK" w:cs="Times New Roman"/>
          <w:sz w:val="32"/>
          <w:szCs w:val="32"/>
          <w:shd w:val="clear" w:color="auto" w:fill="FFFFFF"/>
        </w:rPr>
        <w:t>5.9%</w:t>
      </w:r>
      <w:r>
        <w:rPr>
          <w:rFonts w:hint="eastAsia" w:ascii="方正仿宋_GBK" w:eastAsia="方正仿宋_GBK"/>
          <w:sz w:val="32"/>
          <w:szCs w:val="32"/>
          <w:shd w:val="clear" w:color="auto" w:fill="FFFFFF"/>
        </w:rPr>
        <w:t>，主要原因是主要原因是本年度人员支出减少。人员经费用途主要包括基本工资、津贴补贴、奖金、社会保障缴费、职业年金缴费、基本医疗缴费、住房公积金等。公用经费</w:t>
      </w:r>
      <w:r>
        <w:rPr>
          <w:rFonts w:ascii="Times New Roman" w:hAnsi="Times New Roman" w:eastAsia="方正仿宋_GBK" w:cs="Times New Roman"/>
          <w:sz w:val="32"/>
          <w:szCs w:val="32"/>
          <w:shd w:val="clear" w:color="auto" w:fill="FFFFFF"/>
        </w:rPr>
        <w:t>21.93</w:t>
      </w:r>
      <w:r>
        <w:rPr>
          <w:rFonts w:hint="eastAsia" w:ascii="方正仿宋_GBK" w:eastAsia="方正仿宋_GBK"/>
          <w:sz w:val="32"/>
          <w:szCs w:val="32"/>
          <w:shd w:val="clear" w:color="auto" w:fill="FFFFFF"/>
        </w:rPr>
        <w:t>万元，较上年决算数增加</w:t>
      </w:r>
      <w:r>
        <w:rPr>
          <w:rFonts w:ascii="Times New Roman" w:hAnsi="Times New Roman" w:eastAsia="方正仿宋_GBK" w:cs="Times New Roman"/>
          <w:sz w:val="32"/>
          <w:szCs w:val="32"/>
          <w:shd w:val="clear" w:color="auto" w:fill="FFFFFF"/>
        </w:rPr>
        <w:t>7.97</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57.1%</w:t>
      </w:r>
      <w:r>
        <w:rPr>
          <w:rFonts w:hint="eastAsia" w:ascii="方正仿宋_GBK" w:eastAsia="方正仿宋_GBK"/>
          <w:sz w:val="32"/>
          <w:szCs w:val="32"/>
          <w:shd w:val="clear" w:color="auto" w:fill="FFFFFF"/>
        </w:rPr>
        <w:t>，主要原因是本年度人员增加，对应公用经费支出增加。公用经费用途主要包括办公费、水费、电费、邮电费、差旅费、工会经费、培训费、其他交通费用、其他商品和服务支出等。</w:t>
      </w:r>
    </w:p>
    <w:p w14:paraId="3E46006A">
      <w:pPr>
        <w:pStyle w:val="4"/>
        <w:autoSpaceDE w:val="0"/>
        <w:spacing w:before="0" w:beforeAutospacing="0" w:after="0" w:afterAutospacing="0" w:line="579" w:lineRule="exact"/>
        <w:ind w:firstLine="640" w:firstLineChars="200"/>
        <w:jc w:val="both"/>
        <w:rPr>
          <w:rFonts w:ascii="Times New Roman" w:hAnsi="Times New Roman" w:eastAsia="方正楷体_GBK" w:cs="Times New Roman"/>
          <w:sz w:val="32"/>
          <w:szCs w:val="32"/>
          <w:shd w:val="clear" w:color="auto" w:fill="FFFFFF"/>
        </w:rPr>
      </w:pPr>
      <w:r>
        <w:rPr>
          <w:rStyle w:val="6"/>
          <w:rFonts w:hint="eastAsia" w:ascii="方正楷体_GBK" w:eastAsia="方正楷体_GBK"/>
          <w:b w:val="0"/>
          <w:bCs w:val="0"/>
          <w:sz w:val="32"/>
          <w:szCs w:val="32"/>
          <w:shd w:val="clear" w:color="auto" w:fill="FFFFFF"/>
        </w:rPr>
        <w:t>（五）政府性基金预算收支决算情况说明。</w:t>
      </w:r>
    </w:p>
    <w:p w14:paraId="789E98AB">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hint="eastAsia" w:ascii="方正仿宋_GBK" w:eastAsia="方正仿宋_GBK"/>
          <w:sz w:val="32"/>
          <w:szCs w:val="32"/>
          <w:shd w:val="clear" w:color="auto" w:fill="FFFFFF"/>
        </w:rPr>
        <w:t>本部门</w:t>
      </w:r>
      <w:r>
        <w:rPr>
          <w:rFonts w:ascii="Times New Roman" w:hAnsi="Times New Roman" w:eastAsia="方正仿宋_GBK" w:cs="Times New Roman"/>
          <w:sz w:val="32"/>
          <w:szCs w:val="32"/>
          <w:shd w:val="clear" w:color="auto" w:fill="FFFFFF"/>
        </w:rPr>
        <w:t>2022</w:t>
      </w:r>
      <w:r>
        <w:rPr>
          <w:rFonts w:hint="eastAsia" w:ascii="方正仿宋_GBK" w:eastAsia="方正仿宋_GBK"/>
          <w:sz w:val="32"/>
          <w:szCs w:val="32"/>
          <w:shd w:val="clear" w:color="auto" w:fill="FFFFFF"/>
        </w:rPr>
        <w:t>年度无政府性基金预算财政拨款收支</w:t>
      </w:r>
    </w:p>
    <w:p w14:paraId="7990E9FC">
      <w:pPr>
        <w:pStyle w:val="4"/>
        <w:autoSpaceDE w:val="0"/>
        <w:spacing w:before="0" w:beforeAutospacing="0" w:after="0" w:afterAutospacing="0" w:line="579" w:lineRule="exact"/>
        <w:ind w:firstLine="640" w:firstLineChars="200"/>
        <w:jc w:val="both"/>
        <w:rPr>
          <w:rFonts w:ascii="Times New Roman" w:hAnsi="Times New Roman" w:eastAsia="方正楷体_GBK" w:cs="Times New Roman"/>
          <w:sz w:val="32"/>
          <w:szCs w:val="32"/>
          <w:shd w:val="clear" w:color="auto" w:fill="FFFFFF"/>
        </w:rPr>
      </w:pPr>
      <w:r>
        <w:rPr>
          <w:rStyle w:val="6"/>
          <w:rFonts w:hint="eastAsia" w:ascii="方正楷体_GBK" w:eastAsia="方正楷体_GBK"/>
          <w:b w:val="0"/>
          <w:bCs w:val="0"/>
          <w:sz w:val="32"/>
          <w:szCs w:val="32"/>
          <w:shd w:val="clear" w:color="auto" w:fill="FFFFFF"/>
        </w:rPr>
        <w:t>（六）国有资本经营预算财政拨款支出决算情况说明。</w:t>
      </w:r>
    </w:p>
    <w:p w14:paraId="32571B5B">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hint="eastAsia" w:ascii="方正仿宋_GBK" w:eastAsia="方正仿宋_GBK"/>
          <w:sz w:val="32"/>
          <w:szCs w:val="32"/>
          <w:shd w:val="clear" w:color="auto" w:fill="FFFFFF"/>
        </w:rPr>
        <w:t>本部门</w:t>
      </w:r>
      <w:r>
        <w:rPr>
          <w:rFonts w:ascii="Times New Roman" w:hAnsi="Times New Roman" w:eastAsia="方正仿宋_GBK" w:cs="Times New Roman"/>
          <w:sz w:val="32"/>
          <w:szCs w:val="32"/>
          <w:shd w:val="clear" w:color="auto" w:fill="FFFFFF"/>
        </w:rPr>
        <w:t>2022</w:t>
      </w:r>
      <w:r>
        <w:rPr>
          <w:rFonts w:hint="eastAsia" w:ascii="方正仿宋_GBK" w:eastAsia="方正仿宋_GBK"/>
          <w:sz w:val="32"/>
          <w:szCs w:val="32"/>
          <w:shd w:val="clear" w:color="auto" w:fill="FFFFFF"/>
        </w:rPr>
        <w:t>年度无国有资本经营预算财政拨款支出。</w:t>
      </w:r>
    </w:p>
    <w:p w14:paraId="1D0A24B5">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黑体_GBK" w:eastAsia="方正黑体_GBK"/>
          <w:b w:val="0"/>
          <w:bCs w:val="0"/>
          <w:sz w:val="32"/>
          <w:szCs w:val="32"/>
          <w:shd w:val="clear" w:color="auto" w:fill="FFFFFF"/>
        </w:rPr>
        <w:t>三、</w:t>
      </w:r>
      <w:r>
        <w:rPr>
          <w:rStyle w:val="6"/>
          <w:rFonts w:eastAsia="方正黑体_GBK"/>
          <w:b w:val="0"/>
          <w:bCs w:val="0"/>
          <w:sz w:val="32"/>
          <w:szCs w:val="32"/>
          <w:shd w:val="clear" w:color="auto" w:fill="FFFFFF"/>
        </w:rPr>
        <w:t>“</w:t>
      </w:r>
      <w:r>
        <w:rPr>
          <w:rStyle w:val="6"/>
          <w:rFonts w:hint="eastAsia" w:ascii="方正黑体_GBK" w:eastAsia="方正黑体_GBK"/>
          <w:b w:val="0"/>
          <w:bCs w:val="0"/>
          <w:sz w:val="32"/>
          <w:szCs w:val="32"/>
          <w:shd w:val="clear" w:color="auto" w:fill="FFFFFF"/>
        </w:rPr>
        <w:t>三公</w:t>
      </w:r>
      <w:r>
        <w:rPr>
          <w:rStyle w:val="6"/>
          <w:rFonts w:eastAsia="方正黑体_GBK"/>
          <w:b w:val="0"/>
          <w:bCs w:val="0"/>
          <w:sz w:val="32"/>
          <w:szCs w:val="32"/>
          <w:shd w:val="clear" w:color="auto" w:fill="FFFFFF"/>
        </w:rPr>
        <w:t>”</w:t>
      </w:r>
      <w:r>
        <w:rPr>
          <w:rStyle w:val="6"/>
          <w:rFonts w:hint="eastAsia" w:ascii="方正黑体_GBK" w:eastAsia="方正黑体_GBK"/>
          <w:b w:val="0"/>
          <w:bCs w:val="0"/>
          <w:sz w:val="32"/>
          <w:szCs w:val="32"/>
          <w:shd w:val="clear" w:color="auto" w:fill="FFFFFF"/>
        </w:rPr>
        <w:t>经费情况说明</w:t>
      </w:r>
    </w:p>
    <w:p w14:paraId="2E158F18">
      <w:pPr>
        <w:pStyle w:val="4"/>
        <w:autoSpaceDE w:val="0"/>
        <w:spacing w:before="0" w:beforeAutospacing="0" w:after="0" w:afterAutospacing="0" w:line="579" w:lineRule="exact"/>
        <w:ind w:firstLine="640" w:firstLineChars="200"/>
        <w:jc w:val="both"/>
        <w:rPr>
          <w:rFonts w:ascii="Times New Roman" w:hAnsi="Times New Roman" w:eastAsia="方正楷体_GBK" w:cs="Times New Roman"/>
          <w:sz w:val="32"/>
          <w:szCs w:val="32"/>
          <w:shd w:val="clear" w:color="auto" w:fill="FFFFFF"/>
        </w:rPr>
      </w:pPr>
      <w:r>
        <w:rPr>
          <w:rStyle w:val="6"/>
          <w:rFonts w:hint="eastAsia" w:ascii="方正楷体_GBK" w:eastAsia="方正楷体_GBK"/>
          <w:b w:val="0"/>
          <w:bCs w:val="0"/>
          <w:sz w:val="32"/>
          <w:szCs w:val="32"/>
          <w:shd w:val="clear" w:color="auto" w:fill="FFFFFF"/>
        </w:rPr>
        <w:t>（一）</w:t>
      </w:r>
      <w:r>
        <w:rPr>
          <w:rStyle w:val="6"/>
          <w:rFonts w:eastAsia="方正楷体_GBK"/>
          <w:b w:val="0"/>
          <w:bCs w:val="0"/>
          <w:sz w:val="32"/>
          <w:szCs w:val="32"/>
          <w:shd w:val="clear" w:color="auto" w:fill="FFFFFF"/>
        </w:rPr>
        <w:t>“</w:t>
      </w:r>
      <w:r>
        <w:rPr>
          <w:rStyle w:val="6"/>
          <w:rFonts w:hint="eastAsia" w:ascii="方正楷体_GBK" w:eastAsia="方正楷体_GBK"/>
          <w:b w:val="0"/>
          <w:bCs w:val="0"/>
          <w:sz w:val="32"/>
          <w:szCs w:val="32"/>
          <w:shd w:val="clear" w:color="auto" w:fill="FFFFFF"/>
        </w:rPr>
        <w:t>三公</w:t>
      </w:r>
      <w:r>
        <w:rPr>
          <w:rStyle w:val="6"/>
          <w:rFonts w:eastAsia="方正楷体_GBK"/>
          <w:b w:val="0"/>
          <w:bCs w:val="0"/>
          <w:sz w:val="32"/>
          <w:szCs w:val="32"/>
          <w:shd w:val="clear" w:color="auto" w:fill="FFFFFF"/>
        </w:rPr>
        <w:t>”</w:t>
      </w:r>
      <w:r>
        <w:rPr>
          <w:rStyle w:val="6"/>
          <w:rFonts w:hint="eastAsia" w:ascii="方正楷体_GBK" w:eastAsia="方正楷体_GBK"/>
          <w:b w:val="0"/>
          <w:bCs w:val="0"/>
          <w:sz w:val="32"/>
          <w:szCs w:val="32"/>
          <w:shd w:val="clear" w:color="auto" w:fill="FFFFFF"/>
        </w:rPr>
        <w:t>经费支出总体情况说明</w:t>
      </w:r>
    </w:p>
    <w:p w14:paraId="4639889C">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2022</w:t>
      </w:r>
      <w:r>
        <w:rPr>
          <w:rFonts w:hint="eastAsia" w:ascii="方正仿宋_GBK" w:eastAsia="方正仿宋_GBK"/>
          <w:sz w:val="32"/>
          <w:szCs w:val="32"/>
          <w:shd w:val="clear" w:color="auto" w:fill="FFFFFF"/>
        </w:rPr>
        <w:t>年度</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三公</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经费支出共计</w:t>
      </w:r>
      <w:r>
        <w:rPr>
          <w:rFonts w:ascii="Times New Roman" w:hAnsi="Times New Roman" w:eastAsia="方正仿宋_GBK" w:cs="Times New Roman"/>
          <w:sz w:val="32"/>
          <w:szCs w:val="32"/>
          <w:shd w:val="clear" w:color="auto" w:fill="FFFFFF"/>
        </w:rPr>
        <w:t>0.87</w:t>
      </w:r>
      <w:r>
        <w:rPr>
          <w:rFonts w:hint="eastAsia" w:ascii="方正仿宋_GBK" w:eastAsia="方正仿宋_GBK"/>
          <w:sz w:val="32"/>
          <w:szCs w:val="32"/>
          <w:shd w:val="clear" w:color="auto" w:fill="FFFFFF"/>
        </w:rPr>
        <w:t>万元，较年初预算数减少</w:t>
      </w:r>
      <w:r>
        <w:rPr>
          <w:rFonts w:ascii="Times New Roman" w:hAnsi="Times New Roman" w:eastAsia="方正仿宋_GBK" w:cs="Times New Roman"/>
          <w:sz w:val="32"/>
          <w:szCs w:val="32"/>
          <w:shd w:val="clear" w:color="auto" w:fill="FFFFFF"/>
        </w:rPr>
        <w:t>1.63</w:t>
      </w:r>
      <w:r>
        <w:rPr>
          <w:rFonts w:hint="eastAsia" w:ascii="方正仿宋_GBK" w:eastAsia="方正仿宋_GBK"/>
          <w:sz w:val="32"/>
          <w:szCs w:val="32"/>
          <w:shd w:val="clear" w:color="auto" w:fill="FFFFFF"/>
        </w:rPr>
        <w:t>万元，下降</w:t>
      </w:r>
      <w:r>
        <w:rPr>
          <w:rFonts w:ascii="Times New Roman" w:hAnsi="Times New Roman" w:eastAsia="方正仿宋_GBK" w:cs="Times New Roman"/>
          <w:sz w:val="32"/>
          <w:szCs w:val="32"/>
          <w:shd w:val="clear" w:color="auto" w:fill="FFFFFF"/>
        </w:rPr>
        <w:t>65.2%</w:t>
      </w:r>
      <w:r>
        <w:rPr>
          <w:rFonts w:hint="eastAsia" w:ascii="方正仿宋_GBK" w:eastAsia="方正仿宋_GBK"/>
          <w:sz w:val="32"/>
          <w:szCs w:val="32"/>
          <w:shd w:val="clear" w:color="auto" w:fill="FFFFFF"/>
        </w:rPr>
        <w:t>，主要原因是按要求从严管控经费开支。较上年支出数增加</w:t>
      </w:r>
      <w:r>
        <w:rPr>
          <w:rFonts w:ascii="Times New Roman" w:hAnsi="Times New Roman" w:eastAsia="方正仿宋_GBK" w:cs="Times New Roman"/>
          <w:sz w:val="32"/>
          <w:szCs w:val="32"/>
          <w:shd w:val="clear" w:color="auto" w:fill="FFFFFF"/>
        </w:rPr>
        <w:t>0.00</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w:t>
      </w:r>
    </w:p>
    <w:p w14:paraId="2605CF1D">
      <w:pPr>
        <w:pStyle w:val="4"/>
        <w:autoSpaceDE w:val="0"/>
        <w:spacing w:before="0" w:beforeAutospacing="0" w:after="0" w:afterAutospacing="0" w:line="579" w:lineRule="exact"/>
        <w:ind w:firstLine="640" w:firstLineChars="200"/>
        <w:jc w:val="both"/>
        <w:rPr>
          <w:rFonts w:ascii="Times New Roman" w:hAnsi="Times New Roman" w:eastAsia="方正楷体_GBK" w:cs="Times New Roman"/>
          <w:sz w:val="32"/>
          <w:szCs w:val="32"/>
          <w:shd w:val="clear" w:color="auto" w:fill="FFFFFF"/>
        </w:rPr>
      </w:pPr>
      <w:r>
        <w:rPr>
          <w:rStyle w:val="6"/>
          <w:rFonts w:hint="eastAsia" w:ascii="方正楷体_GBK" w:eastAsia="方正楷体_GBK"/>
          <w:b w:val="0"/>
          <w:bCs w:val="0"/>
          <w:sz w:val="32"/>
          <w:szCs w:val="32"/>
          <w:shd w:val="clear" w:color="auto" w:fill="FFFFFF"/>
        </w:rPr>
        <w:t>（二）</w:t>
      </w:r>
      <w:r>
        <w:rPr>
          <w:rStyle w:val="6"/>
          <w:rFonts w:eastAsia="方正楷体_GBK"/>
          <w:b w:val="0"/>
          <w:bCs w:val="0"/>
          <w:sz w:val="32"/>
          <w:szCs w:val="32"/>
          <w:shd w:val="clear" w:color="auto" w:fill="FFFFFF"/>
        </w:rPr>
        <w:t>“</w:t>
      </w:r>
      <w:r>
        <w:rPr>
          <w:rStyle w:val="6"/>
          <w:rFonts w:hint="eastAsia" w:ascii="方正楷体_GBK" w:eastAsia="方正楷体_GBK"/>
          <w:b w:val="0"/>
          <w:bCs w:val="0"/>
          <w:sz w:val="32"/>
          <w:szCs w:val="32"/>
          <w:shd w:val="clear" w:color="auto" w:fill="FFFFFF"/>
        </w:rPr>
        <w:t>三公</w:t>
      </w:r>
      <w:r>
        <w:rPr>
          <w:rStyle w:val="6"/>
          <w:rFonts w:eastAsia="方正楷体_GBK"/>
          <w:b w:val="0"/>
          <w:bCs w:val="0"/>
          <w:sz w:val="32"/>
          <w:szCs w:val="32"/>
          <w:shd w:val="clear" w:color="auto" w:fill="FFFFFF"/>
        </w:rPr>
        <w:t>”</w:t>
      </w:r>
      <w:r>
        <w:rPr>
          <w:rStyle w:val="6"/>
          <w:rFonts w:hint="eastAsia" w:ascii="方正楷体_GBK" w:eastAsia="方正楷体_GBK"/>
          <w:b w:val="0"/>
          <w:bCs w:val="0"/>
          <w:sz w:val="32"/>
          <w:szCs w:val="32"/>
          <w:shd w:val="clear" w:color="auto" w:fill="FFFFFF"/>
        </w:rPr>
        <w:t>经费分项支出情况</w:t>
      </w:r>
    </w:p>
    <w:p w14:paraId="2AAD63F9">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2022</w:t>
      </w:r>
      <w:r>
        <w:rPr>
          <w:rFonts w:hint="eastAsia" w:ascii="方正仿宋_GBK" w:eastAsia="方正仿宋_GBK"/>
          <w:sz w:val="32"/>
          <w:szCs w:val="32"/>
          <w:shd w:val="clear" w:color="auto" w:fill="FFFFFF"/>
        </w:rPr>
        <w:t>年度本部门因公出国（境）费用</w:t>
      </w:r>
      <w:r>
        <w:rPr>
          <w:rFonts w:ascii="Times New Roman" w:hAnsi="Times New Roman" w:eastAsia="方正仿宋_GBK" w:cs="Times New Roman"/>
          <w:sz w:val="32"/>
          <w:szCs w:val="32"/>
          <w:shd w:val="clear" w:color="auto" w:fill="FFFFFF"/>
        </w:rPr>
        <w:t>0.00</w:t>
      </w:r>
      <w:r>
        <w:rPr>
          <w:rFonts w:hint="eastAsia" w:ascii="方正仿宋_GBK" w:eastAsia="方正仿宋_GBK"/>
          <w:sz w:val="32"/>
          <w:szCs w:val="32"/>
          <w:shd w:val="clear" w:color="auto" w:fill="FFFFFF"/>
        </w:rPr>
        <w:t>万元。费用支出较年初预算数增加</w:t>
      </w:r>
      <w:r>
        <w:rPr>
          <w:rFonts w:ascii="Times New Roman" w:hAnsi="Times New Roman" w:eastAsia="方正仿宋_GBK" w:cs="Times New Roman"/>
          <w:sz w:val="32"/>
          <w:szCs w:val="32"/>
          <w:shd w:val="clear" w:color="auto" w:fill="FFFFFF"/>
        </w:rPr>
        <w:t>0.00</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。较上年支出数增加</w:t>
      </w:r>
      <w:r>
        <w:rPr>
          <w:rFonts w:ascii="Times New Roman" w:hAnsi="Times New Roman" w:eastAsia="方正仿宋_GBK" w:cs="Times New Roman"/>
          <w:sz w:val="32"/>
          <w:szCs w:val="32"/>
          <w:shd w:val="clear" w:color="auto" w:fill="FFFFFF"/>
        </w:rPr>
        <w:t>0.00</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w:t>
      </w:r>
    </w:p>
    <w:p w14:paraId="0FF31239">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hint="eastAsia" w:ascii="方正仿宋_GBK" w:eastAsia="方正仿宋_GBK"/>
          <w:sz w:val="32"/>
          <w:szCs w:val="32"/>
          <w:shd w:val="clear" w:color="auto" w:fill="FFFFFF"/>
        </w:rPr>
        <w:t>公务车购置费</w:t>
      </w:r>
      <w:r>
        <w:rPr>
          <w:rFonts w:ascii="Times New Roman" w:hAnsi="Times New Roman" w:eastAsia="方正仿宋_GBK" w:cs="Times New Roman"/>
          <w:sz w:val="32"/>
          <w:szCs w:val="32"/>
          <w:shd w:val="clear" w:color="auto" w:fill="FFFFFF"/>
        </w:rPr>
        <w:t>0.00</w:t>
      </w:r>
      <w:r>
        <w:rPr>
          <w:rFonts w:hint="eastAsia" w:ascii="方正仿宋_GBK" w:eastAsia="方正仿宋_GBK"/>
          <w:sz w:val="32"/>
          <w:szCs w:val="32"/>
          <w:shd w:val="clear" w:color="auto" w:fill="FFFFFF"/>
        </w:rPr>
        <w:t>万元。费用支出较年初预算数增加</w:t>
      </w:r>
      <w:r>
        <w:rPr>
          <w:rFonts w:ascii="Times New Roman" w:hAnsi="Times New Roman" w:eastAsia="方正仿宋_GBK" w:cs="Times New Roman"/>
          <w:sz w:val="32"/>
          <w:szCs w:val="32"/>
          <w:shd w:val="clear" w:color="auto" w:fill="FFFFFF"/>
        </w:rPr>
        <w:t>0.00</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。较上年支出数增加</w:t>
      </w:r>
      <w:r>
        <w:rPr>
          <w:rFonts w:ascii="Times New Roman" w:hAnsi="Times New Roman" w:eastAsia="方正仿宋_GBK" w:cs="Times New Roman"/>
          <w:sz w:val="32"/>
          <w:szCs w:val="32"/>
          <w:shd w:val="clear" w:color="auto" w:fill="FFFFFF"/>
        </w:rPr>
        <w:t>0.00</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w:t>
      </w:r>
    </w:p>
    <w:p w14:paraId="5CD2005A">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hint="eastAsia" w:ascii="方正仿宋_GBK" w:eastAsia="方正仿宋_GBK"/>
          <w:sz w:val="32"/>
          <w:szCs w:val="32"/>
          <w:shd w:val="clear" w:color="auto" w:fill="FFFFFF"/>
        </w:rPr>
        <w:t>公务车运行维护费</w:t>
      </w:r>
      <w:r>
        <w:rPr>
          <w:rFonts w:ascii="Times New Roman" w:hAnsi="Times New Roman" w:eastAsia="方正仿宋_GBK" w:cs="Times New Roman"/>
          <w:sz w:val="32"/>
          <w:szCs w:val="32"/>
          <w:shd w:val="clear" w:color="auto" w:fill="FFFFFF"/>
        </w:rPr>
        <w:t>0.87</w:t>
      </w:r>
      <w:r>
        <w:rPr>
          <w:rFonts w:hint="eastAsia" w:ascii="方正仿宋_GBK" w:eastAsia="方正仿宋_GBK"/>
          <w:sz w:val="32"/>
          <w:szCs w:val="32"/>
          <w:shd w:val="clear" w:color="auto" w:fill="FFFFFF"/>
        </w:rPr>
        <w:t>万元，主要用于市内因公出行、各类会议、考察调研、检查等工作所需车辆的燃料费、维修保养费、过桥过路费、保险费等。费用支出较年初预算数减少</w:t>
      </w:r>
      <w:r>
        <w:rPr>
          <w:rFonts w:ascii="Times New Roman" w:hAnsi="Times New Roman" w:eastAsia="方正仿宋_GBK" w:cs="Times New Roman"/>
          <w:sz w:val="32"/>
          <w:szCs w:val="32"/>
          <w:shd w:val="clear" w:color="auto" w:fill="FFFFFF"/>
        </w:rPr>
        <w:t>1.63</w:t>
      </w:r>
      <w:r>
        <w:rPr>
          <w:rFonts w:hint="eastAsia" w:ascii="方正仿宋_GBK" w:eastAsia="方正仿宋_GBK"/>
          <w:sz w:val="32"/>
          <w:szCs w:val="32"/>
          <w:shd w:val="clear" w:color="auto" w:fill="FFFFFF"/>
        </w:rPr>
        <w:t>万元，下降</w:t>
      </w:r>
      <w:r>
        <w:rPr>
          <w:rFonts w:ascii="Times New Roman" w:hAnsi="Times New Roman" w:eastAsia="方正仿宋_GBK" w:cs="Times New Roman"/>
          <w:sz w:val="32"/>
          <w:szCs w:val="32"/>
          <w:shd w:val="clear" w:color="auto" w:fill="FFFFFF"/>
        </w:rPr>
        <w:t>65.2%</w:t>
      </w:r>
      <w:r>
        <w:rPr>
          <w:rFonts w:hint="eastAsia" w:ascii="方正仿宋_GBK" w:eastAsia="方正仿宋_GBK"/>
          <w:sz w:val="32"/>
          <w:szCs w:val="32"/>
          <w:shd w:val="clear" w:color="auto" w:fill="FFFFFF"/>
        </w:rPr>
        <w:t>，主要原因是按要求从严管控经费开支。较上年支出数增加</w:t>
      </w:r>
      <w:r>
        <w:rPr>
          <w:rFonts w:ascii="Times New Roman" w:hAnsi="Times New Roman" w:eastAsia="方正仿宋_GBK" w:cs="Times New Roman"/>
          <w:sz w:val="32"/>
          <w:szCs w:val="32"/>
          <w:shd w:val="clear" w:color="auto" w:fill="FFFFFF"/>
        </w:rPr>
        <w:t>0.00</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w:t>
      </w:r>
    </w:p>
    <w:p w14:paraId="60378D66">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hint="eastAsia" w:ascii="方正仿宋_GBK" w:eastAsia="方正仿宋_GBK"/>
          <w:sz w:val="32"/>
          <w:szCs w:val="32"/>
          <w:shd w:val="clear" w:color="auto" w:fill="FFFFFF"/>
        </w:rPr>
        <w:t>公务接待费</w:t>
      </w:r>
      <w:r>
        <w:rPr>
          <w:rFonts w:ascii="Times New Roman" w:hAnsi="Times New Roman" w:eastAsia="方正仿宋_GBK" w:cs="Times New Roman"/>
          <w:sz w:val="32"/>
          <w:szCs w:val="32"/>
          <w:shd w:val="clear" w:color="auto" w:fill="FFFFFF"/>
        </w:rPr>
        <w:t>0.00</w:t>
      </w:r>
      <w:r>
        <w:rPr>
          <w:rFonts w:hint="eastAsia" w:ascii="方正仿宋_GBK" w:eastAsia="方正仿宋_GBK"/>
          <w:sz w:val="32"/>
          <w:szCs w:val="32"/>
          <w:shd w:val="clear" w:color="auto" w:fill="FFFFFF"/>
        </w:rPr>
        <w:t>万元。费用支出较年初预算数增加</w:t>
      </w:r>
      <w:r>
        <w:rPr>
          <w:rFonts w:ascii="Times New Roman" w:hAnsi="Times New Roman" w:eastAsia="方正仿宋_GBK" w:cs="Times New Roman"/>
          <w:sz w:val="32"/>
          <w:szCs w:val="32"/>
          <w:shd w:val="clear" w:color="auto" w:fill="FFFFFF"/>
        </w:rPr>
        <w:t>0.00</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。较上年支出数增加</w:t>
      </w:r>
      <w:r>
        <w:rPr>
          <w:rFonts w:ascii="Times New Roman" w:hAnsi="Times New Roman" w:eastAsia="方正仿宋_GBK" w:cs="Times New Roman"/>
          <w:sz w:val="32"/>
          <w:szCs w:val="32"/>
          <w:shd w:val="clear" w:color="auto" w:fill="FFFFFF"/>
        </w:rPr>
        <w:t>0.00</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w:t>
      </w:r>
    </w:p>
    <w:p w14:paraId="6E318A03">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（三）</w:t>
      </w:r>
      <w:r>
        <w:rPr>
          <w:rStyle w:val="6"/>
          <w:rFonts w:eastAsia="方正楷体_GBK"/>
          <w:b w:val="0"/>
          <w:bCs w:val="0"/>
          <w:sz w:val="32"/>
          <w:szCs w:val="32"/>
          <w:shd w:val="clear" w:color="auto" w:fill="FFFFFF"/>
        </w:rPr>
        <w:t>“</w:t>
      </w:r>
      <w:r>
        <w:rPr>
          <w:rStyle w:val="6"/>
          <w:rFonts w:hint="eastAsia" w:ascii="方正楷体_GBK" w:eastAsia="方正楷体_GBK"/>
          <w:b w:val="0"/>
          <w:bCs w:val="0"/>
          <w:sz w:val="32"/>
          <w:szCs w:val="32"/>
          <w:shd w:val="clear" w:color="auto" w:fill="FFFFFF"/>
        </w:rPr>
        <w:t>三公</w:t>
      </w:r>
      <w:r>
        <w:rPr>
          <w:rStyle w:val="6"/>
          <w:rFonts w:eastAsia="方正楷体_GBK"/>
          <w:b w:val="0"/>
          <w:bCs w:val="0"/>
          <w:sz w:val="32"/>
          <w:szCs w:val="32"/>
          <w:shd w:val="clear" w:color="auto" w:fill="FFFFFF"/>
        </w:rPr>
        <w:t>”</w:t>
      </w:r>
      <w:r>
        <w:rPr>
          <w:rStyle w:val="6"/>
          <w:rFonts w:hint="eastAsia" w:ascii="方正楷体_GBK" w:eastAsia="方正楷体_GBK"/>
          <w:b w:val="0"/>
          <w:bCs w:val="0"/>
          <w:sz w:val="32"/>
          <w:szCs w:val="32"/>
          <w:shd w:val="clear" w:color="auto" w:fill="FFFFFF"/>
        </w:rPr>
        <w:t>经费实物量情况</w:t>
      </w:r>
    </w:p>
    <w:p w14:paraId="5D7AB6D6">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2022</w:t>
      </w:r>
      <w:r>
        <w:rPr>
          <w:rFonts w:hint="eastAsia" w:ascii="方正仿宋_GBK" w:eastAsia="方正仿宋_GBK"/>
          <w:sz w:val="32"/>
          <w:szCs w:val="32"/>
          <w:shd w:val="clear" w:color="auto" w:fill="FFFFFF"/>
        </w:rPr>
        <w:t>年度本部门因公出国（境）共计</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个团组，</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人；公务用车购置</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辆，公务车保有量为</w:t>
      </w:r>
      <w:r>
        <w:rPr>
          <w:rFonts w:ascii="Times New Roman" w:hAnsi="Times New Roman" w:eastAsia="方正仿宋_GBK" w:cs="Times New Roman"/>
          <w:sz w:val="32"/>
          <w:szCs w:val="32"/>
          <w:shd w:val="clear" w:color="auto" w:fill="FFFFFF"/>
        </w:rPr>
        <w:t>1</w:t>
      </w:r>
      <w:r>
        <w:rPr>
          <w:rFonts w:hint="eastAsia" w:ascii="方正仿宋_GBK" w:eastAsia="方正仿宋_GBK"/>
          <w:sz w:val="32"/>
          <w:szCs w:val="32"/>
          <w:shd w:val="clear" w:color="auto" w:fill="FFFFFF"/>
        </w:rPr>
        <w:t>辆；国内公务接待</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批次</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人，其中：国内外事接待</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批次，</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人；国（境）外公务接待</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批次，</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人。</w:t>
      </w:r>
      <w:r>
        <w:rPr>
          <w:rFonts w:ascii="Times New Roman" w:hAnsi="Times New Roman" w:eastAsia="方正仿宋_GBK" w:cs="Times New Roman"/>
          <w:sz w:val="32"/>
          <w:szCs w:val="32"/>
          <w:shd w:val="clear" w:color="auto" w:fill="FFFFFF"/>
        </w:rPr>
        <w:t>2022</w:t>
      </w:r>
      <w:r>
        <w:rPr>
          <w:rFonts w:hint="eastAsia" w:ascii="方正仿宋_GBK" w:eastAsia="方正仿宋_GBK"/>
          <w:sz w:val="32"/>
          <w:szCs w:val="32"/>
          <w:shd w:val="clear" w:color="auto" w:fill="FFFFFF"/>
        </w:rPr>
        <w:t>年本部门人均接待费</w:t>
      </w:r>
      <w:r>
        <w:rPr>
          <w:rFonts w:ascii="Times New Roman" w:hAnsi="Times New Roman" w:eastAsia="方正仿宋_GBK" w:cs="Times New Roman"/>
          <w:sz w:val="32"/>
          <w:szCs w:val="32"/>
          <w:shd w:val="clear" w:color="auto" w:fill="FFFFFF"/>
        </w:rPr>
        <w:t>0.00</w:t>
      </w:r>
      <w:r>
        <w:rPr>
          <w:rFonts w:hint="eastAsia" w:ascii="方正仿宋_GBK" w:eastAsia="方正仿宋_GBK"/>
          <w:sz w:val="32"/>
          <w:szCs w:val="32"/>
          <w:shd w:val="clear" w:color="auto" w:fill="FFFFFF"/>
        </w:rPr>
        <w:t>元，车均购置费</w:t>
      </w:r>
      <w:r>
        <w:rPr>
          <w:rFonts w:ascii="Times New Roman" w:hAnsi="Times New Roman" w:eastAsia="方正仿宋_GBK" w:cs="Times New Roman"/>
          <w:sz w:val="32"/>
          <w:szCs w:val="32"/>
          <w:shd w:val="clear" w:color="auto" w:fill="FFFFFF"/>
        </w:rPr>
        <w:t>0.00</w:t>
      </w:r>
      <w:r>
        <w:rPr>
          <w:rFonts w:hint="eastAsia" w:ascii="方正仿宋_GBK" w:eastAsia="方正仿宋_GBK"/>
          <w:sz w:val="32"/>
          <w:szCs w:val="32"/>
          <w:shd w:val="clear" w:color="auto" w:fill="FFFFFF"/>
        </w:rPr>
        <w:t>万元，车均维护费</w:t>
      </w:r>
      <w:r>
        <w:rPr>
          <w:rFonts w:ascii="Times New Roman" w:hAnsi="Times New Roman" w:eastAsia="方正仿宋_GBK" w:cs="Times New Roman"/>
          <w:sz w:val="32"/>
          <w:szCs w:val="32"/>
          <w:shd w:val="clear" w:color="auto" w:fill="FFFFFF"/>
        </w:rPr>
        <w:t>0.87</w:t>
      </w:r>
      <w:r>
        <w:rPr>
          <w:rFonts w:hint="eastAsia" w:ascii="方正仿宋_GBK" w:eastAsia="方正仿宋_GBK"/>
          <w:sz w:val="32"/>
          <w:szCs w:val="32"/>
          <w:shd w:val="clear" w:color="auto" w:fill="FFFFFF"/>
        </w:rPr>
        <w:t>万元。</w:t>
      </w:r>
    </w:p>
    <w:p w14:paraId="4175B5CF">
      <w:pPr>
        <w:pStyle w:val="4"/>
        <w:autoSpaceDE w:val="0"/>
        <w:spacing w:before="0" w:beforeAutospacing="0" w:after="0" w:afterAutospacing="0" w:line="579" w:lineRule="exact"/>
        <w:ind w:firstLine="640" w:firstLineChars="200"/>
        <w:jc w:val="both"/>
        <w:rPr>
          <w:rFonts w:ascii="Times New Roman" w:hAnsi="Times New Roman" w:eastAsia="方正黑体_GBK" w:cs="Times New Roman"/>
          <w:sz w:val="32"/>
          <w:szCs w:val="32"/>
          <w:shd w:val="clear" w:color="auto" w:fill="FFFFFF"/>
        </w:rPr>
      </w:pPr>
      <w:r>
        <w:rPr>
          <w:rStyle w:val="6"/>
          <w:rFonts w:hint="eastAsia" w:ascii="方正黑体_GBK" w:eastAsia="方正黑体_GBK"/>
          <w:b w:val="0"/>
          <w:bCs w:val="0"/>
          <w:sz w:val="32"/>
          <w:szCs w:val="32"/>
          <w:shd w:val="clear" w:color="auto" w:fill="FFFFFF"/>
        </w:rPr>
        <w:t>四、其他需要说明的事项</w:t>
      </w:r>
    </w:p>
    <w:p w14:paraId="3FE01201">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（一）财政拨款会议费和培训费情况说明</w:t>
      </w:r>
    </w:p>
    <w:p w14:paraId="3352480C">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shd w:val="clear" w:color="auto" w:fill="FFFFFF"/>
        </w:rPr>
      </w:pPr>
      <w:r>
        <w:rPr>
          <w:rFonts w:hint="eastAsia" w:ascii="方正仿宋_GBK" w:eastAsia="方正仿宋_GBK"/>
          <w:sz w:val="32"/>
          <w:szCs w:val="32"/>
          <w:shd w:val="clear" w:color="auto" w:fill="FFFFFF"/>
        </w:rPr>
        <w:t>本年度会议费支出</w:t>
      </w:r>
      <w:r>
        <w:rPr>
          <w:rFonts w:ascii="Times New Roman" w:hAnsi="Times New Roman" w:eastAsia="方正仿宋_GBK" w:cs="Times New Roman"/>
          <w:sz w:val="32"/>
          <w:szCs w:val="32"/>
          <w:shd w:val="clear" w:color="auto" w:fill="FFFFFF"/>
        </w:rPr>
        <w:t>0.00</w:t>
      </w:r>
      <w:r>
        <w:rPr>
          <w:rFonts w:hint="eastAsia" w:ascii="方正仿宋_GBK" w:eastAsia="方正仿宋_GBK"/>
          <w:sz w:val="32"/>
          <w:szCs w:val="32"/>
          <w:shd w:val="clear" w:color="auto" w:fill="FFFFFF"/>
        </w:rPr>
        <w:t>万元，较上年决算数增加</w:t>
      </w:r>
      <w:r>
        <w:rPr>
          <w:rFonts w:ascii="Times New Roman" w:hAnsi="Times New Roman" w:eastAsia="方正仿宋_GBK" w:cs="Times New Roman"/>
          <w:sz w:val="32"/>
          <w:szCs w:val="32"/>
          <w:shd w:val="clear" w:color="auto" w:fill="FFFFFF"/>
        </w:rPr>
        <w:t>0.00</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。本年度培训费支出</w:t>
      </w:r>
      <w:r>
        <w:rPr>
          <w:rFonts w:ascii="Times New Roman" w:hAnsi="Times New Roman" w:eastAsia="方正仿宋_GBK" w:cs="Times New Roman"/>
          <w:sz w:val="32"/>
          <w:szCs w:val="32"/>
          <w:shd w:val="clear" w:color="auto" w:fill="FFFFFF"/>
        </w:rPr>
        <w:t>0.02</w:t>
      </w:r>
      <w:r>
        <w:rPr>
          <w:rFonts w:hint="eastAsia" w:ascii="方正仿宋_GBK" w:eastAsia="方正仿宋_GBK"/>
          <w:sz w:val="32"/>
          <w:szCs w:val="32"/>
          <w:shd w:val="clear" w:color="auto" w:fill="FFFFFF"/>
        </w:rPr>
        <w:t>万元，较上年决算数增加</w:t>
      </w:r>
      <w:r>
        <w:rPr>
          <w:rFonts w:ascii="Times New Roman" w:hAnsi="Times New Roman" w:eastAsia="方正仿宋_GBK" w:cs="Times New Roman"/>
          <w:sz w:val="32"/>
          <w:szCs w:val="32"/>
          <w:shd w:val="clear" w:color="auto" w:fill="FFFFFF"/>
        </w:rPr>
        <w:t>0.02</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100%</w:t>
      </w:r>
      <w:r>
        <w:rPr>
          <w:rFonts w:hint="eastAsia" w:ascii="方正仿宋_GBK" w:eastAsia="方正仿宋_GBK"/>
          <w:sz w:val="32"/>
          <w:szCs w:val="32"/>
          <w:shd w:val="clear" w:color="auto" w:fill="FFFFFF"/>
        </w:rPr>
        <w:t>，主要原因是本年对新进人员进行了培训。</w:t>
      </w:r>
    </w:p>
    <w:p w14:paraId="07ED8142">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（二）机关运行经费支出情况说明</w:t>
      </w:r>
    </w:p>
    <w:p w14:paraId="6127FF8F">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color w:val="FF0000"/>
          <w:sz w:val="32"/>
          <w:szCs w:val="32"/>
          <w:shd w:val="clear" w:color="auto" w:fill="FFFFFF"/>
        </w:rPr>
      </w:pPr>
      <w:r>
        <w:rPr>
          <w:rFonts w:ascii="Times New Roman" w:hAnsi="Times New Roman" w:eastAsia="方正仿宋_GBK" w:cs="Times New Roman"/>
          <w:sz w:val="32"/>
          <w:szCs w:val="32"/>
          <w:shd w:val="clear" w:color="auto" w:fill="FFFFFF"/>
        </w:rPr>
        <w:t>2022</w:t>
      </w:r>
      <w:r>
        <w:rPr>
          <w:rFonts w:hint="eastAsia" w:ascii="方正仿宋_GBK" w:eastAsia="方正仿宋_GBK"/>
          <w:sz w:val="32"/>
          <w:szCs w:val="32"/>
          <w:shd w:val="clear" w:color="auto" w:fill="FFFFFF"/>
        </w:rPr>
        <w:t>年度本部门机关运行经费支出</w:t>
      </w:r>
      <w:r>
        <w:rPr>
          <w:rFonts w:ascii="Times New Roman" w:hAnsi="Times New Roman" w:eastAsia="方正仿宋_GBK" w:cs="Times New Roman"/>
          <w:sz w:val="32"/>
          <w:szCs w:val="32"/>
          <w:shd w:val="clear" w:color="auto" w:fill="FFFFFF"/>
        </w:rPr>
        <w:t>21.93</w:t>
      </w:r>
      <w:r>
        <w:rPr>
          <w:rFonts w:hint="eastAsia" w:ascii="方正仿宋_GBK" w:eastAsia="方正仿宋_GBK"/>
          <w:sz w:val="32"/>
          <w:szCs w:val="32"/>
          <w:shd w:val="clear" w:color="auto" w:fill="FFFFFF"/>
        </w:rPr>
        <w:t>万元，主要用于开支办公费、水费、电费、邮电费、差旅费、工会经费、培训费、其他交通费用、其他商品和服务支出等。机关运行经费较上年决算数增加</w:t>
      </w:r>
      <w:r>
        <w:rPr>
          <w:rFonts w:ascii="Times New Roman" w:hAnsi="Times New Roman" w:eastAsia="方正仿宋_GBK" w:cs="Times New Roman"/>
          <w:sz w:val="32"/>
          <w:szCs w:val="32"/>
          <w:shd w:val="clear" w:color="auto" w:fill="FFFFFF"/>
        </w:rPr>
        <w:t>7.97</w:t>
      </w:r>
      <w:r>
        <w:rPr>
          <w:rFonts w:hint="eastAsia" w:ascii="方正仿宋_GBK" w:eastAsia="方正仿宋_GBK"/>
          <w:sz w:val="32"/>
          <w:szCs w:val="32"/>
          <w:shd w:val="clear" w:color="auto" w:fill="FFFFFF"/>
        </w:rPr>
        <w:t>万元，增长</w:t>
      </w:r>
      <w:r>
        <w:rPr>
          <w:rFonts w:ascii="Times New Roman" w:hAnsi="Times New Roman" w:eastAsia="方正仿宋_GBK" w:cs="Times New Roman"/>
          <w:sz w:val="32"/>
          <w:szCs w:val="32"/>
          <w:shd w:val="clear" w:color="auto" w:fill="FFFFFF"/>
        </w:rPr>
        <w:t>57.1%</w:t>
      </w:r>
      <w:r>
        <w:rPr>
          <w:rFonts w:hint="eastAsia" w:ascii="方正仿宋_GBK" w:eastAsia="方正仿宋_GBK"/>
          <w:sz w:val="32"/>
          <w:szCs w:val="32"/>
          <w:shd w:val="clear" w:color="auto" w:fill="FFFFFF"/>
        </w:rPr>
        <w:t>，主要原因是本年度人员增加，对应机关运行经费支出增加。</w:t>
      </w:r>
      <w:bookmarkStart w:id="0" w:name="_GoBack"/>
      <w:bookmarkEnd w:id="0"/>
    </w:p>
    <w:p w14:paraId="461EDF68">
      <w:pPr>
        <w:pStyle w:val="4"/>
        <w:autoSpaceDE w:val="0"/>
        <w:spacing w:before="0" w:beforeAutospacing="0" w:after="0" w:afterAutospacing="0" w:line="579" w:lineRule="exact"/>
        <w:ind w:firstLine="640" w:firstLineChars="200"/>
        <w:jc w:val="both"/>
        <w:rPr>
          <w:rFonts w:ascii="Times New Roman" w:hAnsi="Times New Roman" w:eastAsia="方正楷体_GBK" w:cs="Times New Roman"/>
          <w:sz w:val="32"/>
          <w:szCs w:val="32"/>
          <w:shd w:val="clear" w:color="auto" w:fill="FFFFFF"/>
        </w:rPr>
      </w:pPr>
      <w:r>
        <w:rPr>
          <w:rStyle w:val="6"/>
          <w:rFonts w:hint="eastAsia" w:ascii="方正楷体_GBK" w:eastAsia="方正楷体_GBK"/>
          <w:b w:val="0"/>
          <w:bCs w:val="0"/>
          <w:sz w:val="32"/>
          <w:szCs w:val="32"/>
          <w:shd w:val="clear" w:color="auto" w:fill="FFFFFF"/>
        </w:rPr>
        <w:t>（三）国有资产占用情况说明</w:t>
      </w:r>
    </w:p>
    <w:p w14:paraId="0438085F">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hint="eastAsia" w:ascii="方正仿宋_GBK" w:eastAsia="方正仿宋_GBK"/>
          <w:sz w:val="32"/>
          <w:szCs w:val="32"/>
          <w:shd w:val="clear" w:color="auto" w:fill="FFFFFF"/>
        </w:rPr>
        <w:t>截至</w:t>
      </w:r>
      <w:r>
        <w:rPr>
          <w:rFonts w:ascii="Times New Roman" w:hAnsi="Times New Roman" w:eastAsia="方正仿宋_GBK" w:cs="Times New Roman"/>
          <w:sz w:val="32"/>
          <w:szCs w:val="32"/>
          <w:shd w:val="clear" w:color="auto" w:fill="FFFFFF"/>
        </w:rPr>
        <w:t>2022</w:t>
      </w:r>
      <w:r>
        <w:rPr>
          <w:rFonts w:hint="eastAsia" w:ascii="方正仿宋_GBK" w:eastAsia="方正仿宋_GBK"/>
          <w:sz w:val="32"/>
          <w:szCs w:val="32"/>
          <w:shd w:val="clear" w:color="auto" w:fill="FFFFFF"/>
        </w:rPr>
        <w:t>年</w:t>
      </w:r>
      <w:r>
        <w:rPr>
          <w:rFonts w:ascii="Times New Roman" w:hAnsi="Times New Roman" w:eastAsia="方正仿宋_GBK" w:cs="Times New Roman"/>
          <w:sz w:val="32"/>
          <w:szCs w:val="32"/>
          <w:shd w:val="clear" w:color="auto" w:fill="FFFFFF"/>
        </w:rPr>
        <w:t>12</w:t>
      </w:r>
      <w:r>
        <w:rPr>
          <w:rFonts w:hint="eastAsia" w:ascii="方正仿宋_GBK" w:eastAsia="方正仿宋_GBK"/>
          <w:sz w:val="32"/>
          <w:szCs w:val="32"/>
          <w:shd w:val="clear" w:color="auto" w:fill="FFFFFF"/>
        </w:rPr>
        <w:t>月</w:t>
      </w:r>
      <w:r>
        <w:rPr>
          <w:rFonts w:ascii="Times New Roman" w:hAnsi="Times New Roman" w:eastAsia="方正仿宋_GBK" w:cs="Times New Roman"/>
          <w:sz w:val="32"/>
          <w:szCs w:val="32"/>
          <w:shd w:val="clear" w:color="auto" w:fill="FFFFFF"/>
        </w:rPr>
        <w:t>31</w:t>
      </w:r>
      <w:r>
        <w:rPr>
          <w:rFonts w:hint="eastAsia" w:ascii="方正仿宋_GBK" w:eastAsia="方正仿宋_GBK"/>
          <w:sz w:val="32"/>
          <w:szCs w:val="32"/>
          <w:shd w:val="clear" w:color="auto" w:fill="FFFFFF"/>
        </w:rPr>
        <w:t>日，本部门共有车辆</w:t>
      </w:r>
      <w:r>
        <w:rPr>
          <w:rFonts w:ascii="Times New Roman" w:hAnsi="Times New Roman" w:eastAsia="方正仿宋_GBK" w:cs="Times New Roman"/>
          <w:sz w:val="32"/>
          <w:szCs w:val="32"/>
          <w:shd w:val="clear" w:color="auto" w:fill="FFFFFF"/>
        </w:rPr>
        <w:t>1</w:t>
      </w:r>
      <w:r>
        <w:rPr>
          <w:rFonts w:hint="eastAsia" w:ascii="方正仿宋_GBK" w:eastAsia="方正仿宋_GBK"/>
          <w:sz w:val="32"/>
          <w:szCs w:val="32"/>
          <w:shd w:val="clear" w:color="auto" w:fill="FFFFFF"/>
        </w:rPr>
        <w:t>辆，其中，副部（省）级及以上领导用车</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辆、主要领导干部用车</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辆、机要通信用车</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辆、应急保障用车</w:t>
      </w:r>
      <w:r>
        <w:rPr>
          <w:rFonts w:ascii="Times New Roman" w:hAnsi="Times New Roman" w:eastAsia="方正仿宋_GBK" w:cs="Times New Roman"/>
          <w:sz w:val="32"/>
          <w:szCs w:val="32"/>
          <w:shd w:val="clear" w:color="auto" w:fill="FFFFFF"/>
        </w:rPr>
        <w:t>1</w:t>
      </w:r>
      <w:r>
        <w:rPr>
          <w:rFonts w:hint="eastAsia" w:ascii="方正仿宋_GBK" w:eastAsia="方正仿宋_GBK"/>
          <w:sz w:val="32"/>
          <w:szCs w:val="32"/>
          <w:shd w:val="clear" w:color="auto" w:fill="FFFFFF"/>
        </w:rPr>
        <w:t>辆、执法执勤用车</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辆，特种专业技术用车</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辆，离退休干部用车</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辆，其他用车</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辆。单价</w:t>
      </w:r>
      <w:r>
        <w:rPr>
          <w:rFonts w:ascii="Times New Roman" w:hAnsi="Times New Roman" w:eastAsia="方正仿宋_GBK" w:cs="Times New Roman"/>
          <w:sz w:val="32"/>
          <w:szCs w:val="32"/>
          <w:shd w:val="clear" w:color="auto" w:fill="FFFFFF"/>
        </w:rPr>
        <w:t>100</w:t>
      </w:r>
      <w:r>
        <w:rPr>
          <w:rFonts w:hint="eastAsia" w:ascii="方正仿宋_GBK" w:eastAsia="方正仿宋_GBK"/>
          <w:sz w:val="32"/>
          <w:szCs w:val="32"/>
          <w:shd w:val="clear" w:color="auto" w:fill="FFFFFF"/>
        </w:rPr>
        <w:t>万元（含）以上设备（不含车辆）</w:t>
      </w:r>
      <w:r>
        <w:rPr>
          <w:rFonts w:ascii="Times New Roman" w:hAnsi="Times New Roman" w:eastAsia="方正仿宋_GBK" w:cs="Times New Roman"/>
          <w:sz w:val="32"/>
          <w:szCs w:val="32"/>
          <w:shd w:val="clear" w:color="auto" w:fill="FFFFFF"/>
        </w:rPr>
        <w:t>0</w:t>
      </w:r>
      <w:r>
        <w:rPr>
          <w:rFonts w:hint="eastAsia" w:ascii="方正仿宋_GBK" w:eastAsia="方正仿宋_GBK"/>
          <w:sz w:val="32"/>
          <w:szCs w:val="32"/>
          <w:shd w:val="clear" w:color="auto" w:fill="FFFFFF"/>
        </w:rPr>
        <w:t>台（套）。</w:t>
      </w:r>
    </w:p>
    <w:p w14:paraId="3D7EE55E">
      <w:pPr>
        <w:pStyle w:val="4"/>
        <w:autoSpaceDE w:val="0"/>
        <w:spacing w:before="0" w:beforeAutospacing="0" w:after="0" w:afterAutospacing="0" w:line="579" w:lineRule="exact"/>
        <w:ind w:firstLine="640" w:firstLineChars="200"/>
        <w:jc w:val="both"/>
        <w:rPr>
          <w:rFonts w:ascii="Times New Roman" w:hAnsi="Times New Roman" w:eastAsia="方正楷体_GBK" w:cs="Times New Roman"/>
          <w:sz w:val="32"/>
          <w:szCs w:val="32"/>
          <w:shd w:val="clear" w:color="auto" w:fill="FFFFFF"/>
        </w:rPr>
      </w:pPr>
      <w:r>
        <w:rPr>
          <w:rStyle w:val="6"/>
          <w:rFonts w:hint="eastAsia" w:ascii="方正楷体_GBK" w:eastAsia="方正楷体_GBK"/>
          <w:b w:val="0"/>
          <w:bCs w:val="0"/>
          <w:sz w:val="32"/>
          <w:szCs w:val="32"/>
          <w:shd w:val="clear" w:color="auto" w:fill="FFFFFF"/>
        </w:rPr>
        <w:t>（四）政府采购支出说明</w:t>
      </w:r>
    </w:p>
    <w:p w14:paraId="3A1DABAB">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2022</w:t>
      </w:r>
      <w:r>
        <w:rPr>
          <w:rFonts w:hint="eastAsia" w:ascii="方正仿宋_GBK" w:eastAsia="方正仿宋_GBK"/>
          <w:sz w:val="32"/>
          <w:szCs w:val="32"/>
          <w:shd w:val="clear" w:color="auto" w:fill="FFFFFF"/>
        </w:rPr>
        <w:t>年度我单位未发生政府采购事项，无相关经费支出。</w:t>
      </w:r>
      <w:r>
        <w:rPr>
          <w:rStyle w:val="6"/>
          <w:rFonts w:hint="eastAsia" w:ascii="方正黑体_GBK" w:eastAsia="方正黑体_GBK"/>
          <w:b w:val="0"/>
          <w:bCs w:val="0"/>
          <w:sz w:val="32"/>
          <w:szCs w:val="32"/>
          <w:shd w:val="clear" w:color="auto" w:fill="FFFFFF"/>
        </w:rPr>
        <w:t>五、预算绩效管理情况说明</w:t>
      </w:r>
    </w:p>
    <w:p w14:paraId="135629AD">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（一）预算绩效管理工作开展情况</w:t>
      </w:r>
    </w:p>
    <w:p w14:paraId="05B75E3F">
      <w:pPr>
        <w:pStyle w:val="4"/>
        <w:autoSpaceDE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hint="eastAsia" w:ascii="方正仿宋_GBK" w:eastAsia="方正仿宋_GBK"/>
          <w:sz w:val="32"/>
          <w:szCs w:val="32"/>
          <w:shd w:val="clear" w:color="auto" w:fill="FFFFFF"/>
        </w:rPr>
        <w:t>根据预算绩效管理要求，我委对部门整体和</w:t>
      </w:r>
      <w:r>
        <w:rPr>
          <w:rFonts w:ascii="Times New Roman" w:hAnsi="Times New Roman" w:eastAsia="方正仿宋_GBK" w:cs="Times New Roman"/>
          <w:sz w:val="32"/>
          <w:szCs w:val="32"/>
          <w:shd w:val="clear" w:color="auto" w:fill="FFFFFF"/>
        </w:rPr>
        <w:t>7</w:t>
      </w:r>
      <w:r>
        <w:rPr>
          <w:rFonts w:hint="eastAsia" w:ascii="方正仿宋_GBK" w:eastAsia="方正仿宋_GBK"/>
          <w:sz w:val="32"/>
          <w:szCs w:val="32"/>
          <w:shd w:val="clear" w:color="auto" w:fill="FFFFFF"/>
        </w:rPr>
        <w:t>个项目开展了绩效自评，其中，以填报自评表形式开展自评</w:t>
      </w:r>
      <w:r>
        <w:rPr>
          <w:rFonts w:ascii="Times New Roman" w:hAnsi="Times New Roman" w:eastAsia="方正仿宋_GBK" w:cs="Times New Roman"/>
          <w:sz w:val="32"/>
          <w:szCs w:val="32"/>
          <w:shd w:val="clear" w:color="auto" w:fill="FFFFFF"/>
        </w:rPr>
        <w:t>7</w:t>
      </w:r>
      <w:r>
        <w:rPr>
          <w:rFonts w:hint="eastAsia" w:ascii="方正仿宋_GBK" w:eastAsia="方正仿宋_GBK"/>
          <w:sz w:val="32"/>
          <w:szCs w:val="32"/>
          <w:shd w:val="clear" w:color="auto" w:fill="FFFFFF"/>
        </w:rPr>
        <w:t>项，涉及资金</w:t>
      </w:r>
      <w:r>
        <w:rPr>
          <w:rFonts w:ascii="Times New Roman" w:hAnsi="Times New Roman" w:eastAsia="方正仿宋_GBK" w:cs="Times New Roman"/>
          <w:sz w:val="32"/>
          <w:szCs w:val="32"/>
          <w:shd w:val="clear" w:color="auto" w:fill="FFFFFF"/>
        </w:rPr>
        <w:t>370.36</w:t>
      </w:r>
      <w:r>
        <w:rPr>
          <w:rFonts w:hint="eastAsia" w:ascii="方正仿宋_GBK" w:eastAsia="方正仿宋_GBK"/>
          <w:sz w:val="32"/>
          <w:szCs w:val="32"/>
          <w:shd w:val="clear" w:color="auto" w:fill="FFFFFF"/>
        </w:rPr>
        <w:t>万元。</w:t>
      </w:r>
    </w:p>
    <w:p w14:paraId="5DD03B0C">
      <w:pPr>
        <w:pStyle w:val="4"/>
        <w:autoSpaceDE w:val="0"/>
        <w:spacing w:before="0" w:beforeAutospacing="0" w:after="0" w:afterAutospacing="0" w:line="579" w:lineRule="exact"/>
        <w:ind w:firstLine="640" w:firstLineChars="200"/>
        <w:jc w:val="both"/>
        <w:rPr>
          <w:rFonts w:ascii="Times New Roman" w:hAnsi="Times New Roman" w:eastAsia="方正楷体_GBK" w:cs="Times New Roman"/>
          <w:sz w:val="32"/>
          <w:szCs w:val="32"/>
          <w:shd w:val="clear" w:color="auto" w:fill="FFFFFF"/>
        </w:rPr>
      </w:pPr>
      <w:r>
        <w:rPr>
          <w:rStyle w:val="6"/>
          <w:rFonts w:hint="eastAsia" w:ascii="方正楷体_GBK" w:eastAsia="方正楷体_GBK"/>
          <w:b w:val="0"/>
          <w:bCs w:val="0"/>
          <w:sz w:val="32"/>
          <w:szCs w:val="32"/>
          <w:shd w:val="clear" w:color="auto" w:fill="FFFFFF"/>
        </w:rPr>
        <w:t>（二）绩效自评结果。</w:t>
      </w:r>
    </w:p>
    <w:p w14:paraId="0EE97848">
      <w:pPr>
        <w:pStyle w:val="4"/>
        <w:autoSpaceDE w:val="0"/>
        <w:spacing w:before="0" w:beforeAutospacing="0" w:after="0" w:afterAutospacing="0" w:line="579" w:lineRule="exact"/>
        <w:ind w:firstLine="643" w:firstLineChars="200"/>
        <w:jc w:val="both"/>
        <w:rPr>
          <w:rFonts w:ascii="Times New Roman" w:hAnsi="Times New Roman" w:eastAsia="方正仿宋_GBK" w:cs="Times New Roman"/>
          <w:sz w:val="32"/>
          <w:szCs w:val="32"/>
        </w:rPr>
      </w:pPr>
      <w:r>
        <w:rPr>
          <w:rStyle w:val="6"/>
          <w:rFonts w:eastAsia="方正仿宋_GBK"/>
          <w:sz w:val="32"/>
          <w:szCs w:val="32"/>
          <w:shd w:val="clear" w:color="auto" w:fill="FFFFFF"/>
        </w:rPr>
        <w:t>1.</w:t>
      </w:r>
      <w:r>
        <w:rPr>
          <w:rStyle w:val="6"/>
          <w:rFonts w:hint="eastAsia" w:ascii="方正仿宋_GBK" w:eastAsia="方正仿宋_GBK"/>
          <w:sz w:val="32"/>
          <w:szCs w:val="32"/>
          <w:shd w:val="clear" w:color="auto" w:fill="FFFFFF"/>
        </w:rPr>
        <w:t>绩效目标自评表。</w:t>
      </w:r>
    </w:p>
    <w:p w14:paraId="29A36754">
      <w:pPr>
        <w:pStyle w:val="4"/>
        <w:autoSpaceDE w:val="0"/>
        <w:spacing w:before="0" w:beforeAutospacing="0" w:after="0" w:afterAutospacing="0" w:line="579" w:lineRule="exact"/>
        <w:ind w:firstLine="643" w:firstLineChars="200"/>
        <w:jc w:val="both"/>
        <w:rPr>
          <w:rFonts w:ascii="Times New Roman" w:hAnsi="Times New Roman" w:eastAsia="方正仿宋_GBK" w:cs="Times New Roman"/>
          <w:sz w:val="32"/>
          <w:szCs w:val="32"/>
          <w:shd w:val="clear" w:color="auto" w:fill="FFFFFF"/>
        </w:rPr>
      </w:pPr>
      <w:r>
        <w:rPr>
          <w:rFonts w:hint="eastAsia" w:ascii="方正仿宋_GBK" w:eastAsia="方正仿宋_GBK"/>
          <w:b/>
          <w:bCs/>
          <w:sz w:val="32"/>
          <w:szCs w:val="32"/>
          <w:shd w:val="clear" w:color="auto" w:fill="FFFFFF"/>
        </w:rPr>
        <w:t>（</w:t>
      </w:r>
      <w:r>
        <w:rPr>
          <w:rFonts w:ascii="Times New Roman" w:hAnsi="Times New Roman" w:eastAsia="方正仿宋_GBK" w:cs="Times New Roman"/>
          <w:b/>
          <w:bCs/>
          <w:sz w:val="32"/>
          <w:szCs w:val="32"/>
          <w:shd w:val="clear" w:color="auto" w:fill="FFFFFF"/>
        </w:rPr>
        <w:t>1</w:t>
      </w:r>
      <w:r>
        <w:rPr>
          <w:rFonts w:hint="eastAsia" w:ascii="方正仿宋_GBK" w:eastAsia="方正仿宋_GBK"/>
          <w:b/>
          <w:bCs/>
          <w:sz w:val="32"/>
          <w:szCs w:val="32"/>
          <w:shd w:val="clear" w:color="auto" w:fill="FFFFFF"/>
        </w:rPr>
        <w:t>）公开范围。</w:t>
      </w:r>
      <w:r>
        <w:rPr>
          <w:rFonts w:hint="eastAsia" w:ascii="方正仿宋_GBK" w:eastAsia="方正仿宋_GBK"/>
          <w:sz w:val="32"/>
          <w:szCs w:val="32"/>
          <w:shd w:val="clear" w:color="auto" w:fill="FFFFFF"/>
        </w:rPr>
        <w:t>一级预算单位应公开部门整体绩效自评表。有重点专项的部门应公开所有重点专项一级项目，并选择至少</w:t>
      </w:r>
      <w:r>
        <w:rPr>
          <w:rFonts w:ascii="Times New Roman" w:hAnsi="Times New Roman" w:eastAsia="方正仿宋_GBK" w:cs="Times New Roman"/>
          <w:sz w:val="32"/>
          <w:szCs w:val="32"/>
          <w:shd w:val="clear" w:color="auto" w:fill="FFFFFF"/>
        </w:rPr>
        <w:t>1</w:t>
      </w:r>
      <w:r>
        <w:rPr>
          <w:rFonts w:hint="eastAsia" w:ascii="方正仿宋_GBK" w:eastAsia="方正仿宋_GBK"/>
          <w:sz w:val="32"/>
          <w:szCs w:val="32"/>
          <w:shd w:val="clear" w:color="auto" w:fill="FFFFFF"/>
        </w:rPr>
        <w:t>个重点专项二级项目公开绩效自评表。无重点专项的部门应选择至少</w:t>
      </w:r>
      <w:r>
        <w:rPr>
          <w:rFonts w:ascii="Times New Roman" w:hAnsi="Times New Roman" w:eastAsia="方正仿宋_GBK" w:cs="Times New Roman"/>
          <w:sz w:val="32"/>
          <w:szCs w:val="32"/>
          <w:shd w:val="clear" w:color="auto" w:fill="FFFFFF"/>
        </w:rPr>
        <w:t>1</w:t>
      </w:r>
      <w:r>
        <w:rPr>
          <w:rFonts w:hint="eastAsia" w:ascii="方正仿宋_GBK" w:eastAsia="方正仿宋_GBK"/>
          <w:sz w:val="32"/>
          <w:szCs w:val="32"/>
          <w:shd w:val="clear" w:color="auto" w:fill="FFFFFF"/>
        </w:rPr>
        <w:t>个一般性项目一级项目和</w:t>
      </w:r>
      <w:r>
        <w:rPr>
          <w:rFonts w:ascii="Times New Roman" w:hAnsi="Times New Roman" w:eastAsia="方正仿宋_GBK" w:cs="Times New Roman"/>
          <w:sz w:val="32"/>
          <w:szCs w:val="32"/>
          <w:shd w:val="clear" w:color="auto" w:fill="FFFFFF"/>
        </w:rPr>
        <w:t>1</w:t>
      </w:r>
      <w:r>
        <w:rPr>
          <w:rFonts w:hint="eastAsia" w:ascii="方正仿宋_GBK" w:eastAsia="方正仿宋_GBK"/>
          <w:sz w:val="32"/>
          <w:szCs w:val="32"/>
          <w:shd w:val="clear" w:color="auto" w:fill="FFFFFF"/>
        </w:rPr>
        <w:t>个一般性二级项目绩效自评表进行公开。</w:t>
      </w:r>
    </w:p>
    <w:p w14:paraId="17DDEB18">
      <w:pPr>
        <w:pStyle w:val="4"/>
        <w:autoSpaceDE w:val="0"/>
        <w:spacing w:before="0" w:beforeAutospacing="0" w:after="0" w:afterAutospacing="0" w:line="579" w:lineRule="exact"/>
        <w:ind w:firstLine="643" w:firstLineChars="200"/>
        <w:jc w:val="both"/>
        <w:rPr>
          <w:rFonts w:ascii="Times New Roman" w:hAnsi="Times New Roman" w:eastAsia="方正仿宋_GBK" w:cs="Times New Roman"/>
          <w:b/>
          <w:bCs/>
          <w:sz w:val="32"/>
          <w:szCs w:val="32"/>
          <w:shd w:val="clear" w:color="auto" w:fill="FFFFFF"/>
        </w:rPr>
      </w:pPr>
      <w:r>
        <w:rPr>
          <w:rFonts w:hint="eastAsia" w:ascii="方正仿宋_GBK" w:eastAsia="方正仿宋_GBK"/>
          <w:b/>
          <w:bCs/>
          <w:sz w:val="32"/>
          <w:szCs w:val="32"/>
          <w:shd w:val="clear" w:color="auto" w:fill="FFFFFF"/>
        </w:rPr>
        <w:t>（</w:t>
      </w:r>
      <w:r>
        <w:rPr>
          <w:rFonts w:ascii="Times New Roman" w:hAnsi="Times New Roman" w:eastAsia="方正仿宋_GBK" w:cs="Times New Roman"/>
          <w:b/>
          <w:bCs/>
          <w:sz w:val="32"/>
          <w:szCs w:val="32"/>
          <w:shd w:val="clear" w:color="auto" w:fill="FFFFFF"/>
        </w:rPr>
        <w:t>2</w:t>
      </w:r>
      <w:r>
        <w:rPr>
          <w:rFonts w:hint="eastAsia" w:ascii="方正仿宋_GBK" w:eastAsia="方正仿宋_GBK"/>
          <w:b/>
          <w:bCs/>
          <w:sz w:val="32"/>
          <w:szCs w:val="32"/>
          <w:shd w:val="clear" w:color="auto" w:fill="FFFFFF"/>
        </w:rPr>
        <w:t>）公开内容。</w:t>
      </w:r>
    </w:p>
    <w:p w14:paraId="71365DCD">
      <w:pPr>
        <w:pStyle w:val="4"/>
        <w:autoSpaceDE w:val="0"/>
        <w:spacing w:before="0" w:beforeAutospacing="0" w:line="579" w:lineRule="exact"/>
        <w:ind w:firstLine="640" w:firstLineChars="200"/>
        <w:jc w:val="both"/>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 xml:space="preserve"> </w:t>
      </w:r>
      <w:r>
        <w:rPr>
          <w:rFonts w:hint="eastAsia" w:ascii="方正仿宋_GBK" w:eastAsia="方正仿宋_GBK"/>
          <w:sz w:val="32"/>
          <w:szCs w:val="32"/>
          <w:shd w:val="clear" w:color="auto" w:fill="FFFFFF"/>
        </w:rPr>
        <w:t>整体绩效自评表：</w:t>
      </w:r>
    </w:p>
    <w:tbl>
      <w:tblPr>
        <w:tblStyle w:val="2"/>
        <w:tblW w:w="9540" w:type="dxa"/>
        <w:jc w:val="center"/>
        <w:tblLayout w:type="fixed"/>
        <w:tblCellMar>
          <w:top w:w="0" w:type="dxa"/>
          <w:left w:w="108" w:type="dxa"/>
          <w:bottom w:w="0" w:type="dxa"/>
          <w:right w:w="108" w:type="dxa"/>
        </w:tblCellMar>
      </w:tblPr>
      <w:tblGrid>
        <w:gridCol w:w="739"/>
        <w:gridCol w:w="1365"/>
        <w:gridCol w:w="1230"/>
        <w:gridCol w:w="870"/>
        <w:gridCol w:w="1005"/>
        <w:gridCol w:w="990"/>
        <w:gridCol w:w="795"/>
        <w:gridCol w:w="765"/>
        <w:gridCol w:w="818"/>
        <w:gridCol w:w="963"/>
      </w:tblGrid>
      <w:tr w14:paraId="5355B9FF">
        <w:tblPrEx>
          <w:tblCellMar>
            <w:top w:w="0" w:type="dxa"/>
            <w:left w:w="108" w:type="dxa"/>
            <w:bottom w:w="0" w:type="dxa"/>
            <w:right w:w="108" w:type="dxa"/>
          </w:tblCellMar>
        </w:tblPrEx>
        <w:trPr>
          <w:trHeight w:val="552" w:hRule="atLeast"/>
          <w:jc w:val="center"/>
        </w:trPr>
        <w:tc>
          <w:tcPr>
            <w:tcW w:w="9540" w:type="dxa"/>
            <w:gridSpan w:val="10"/>
            <w:tcBorders>
              <w:top w:val="nil"/>
              <w:left w:val="nil"/>
              <w:bottom w:val="nil"/>
              <w:right w:val="nil"/>
            </w:tcBorders>
            <w:vAlign w:val="center"/>
          </w:tcPr>
          <w:p w14:paraId="06AA0B08">
            <w:pPr>
              <w:jc w:val="center"/>
              <w:textAlignment w:val="center"/>
              <w:rPr>
                <w:rFonts w:ascii="方正小标宋_GBK" w:eastAsia="方正小标宋_GBK"/>
                <w:color w:val="000000"/>
                <w:sz w:val="36"/>
                <w:szCs w:val="36"/>
              </w:rPr>
            </w:pPr>
            <w:r>
              <w:rPr>
                <w:rFonts w:hint="eastAsia" w:ascii="方正小标宋_GBK" w:eastAsia="方正小标宋_GBK"/>
                <w:color w:val="000000"/>
                <w:sz w:val="36"/>
                <w:szCs w:val="36"/>
              </w:rPr>
              <w:t>城口县工业园区管理委员会2022年度部门整体绩效自评表</w:t>
            </w:r>
          </w:p>
        </w:tc>
      </w:tr>
      <w:tr w14:paraId="37714B25">
        <w:tblPrEx>
          <w:tblCellMar>
            <w:top w:w="0" w:type="dxa"/>
            <w:left w:w="108" w:type="dxa"/>
            <w:bottom w:w="0" w:type="dxa"/>
            <w:right w:w="108" w:type="dxa"/>
          </w:tblCellMar>
        </w:tblPrEx>
        <w:trPr>
          <w:trHeight w:val="6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14:paraId="24949FF0">
            <w:pPr>
              <w:jc w:val="center"/>
              <w:textAlignment w:val="center"/>
              <w:rPr>
                <w:rFonts w:ascii="方正仿宋_GBK" w:eastAsia="方正仿宋_GBK"/>
                <w:color w:val="000000"/>
                <w:sz w:val="18"/>
                <w:szCs w:val="18"/>
              </w:rPr>
            </w:pPr>
            <w:r>
              <w:rPr>
                <w:rFonts w:hint="eastAsia" w:ascii="方正仿宋_GBK" w:eastAsia="方正仿宋_GBK"/>
                <w:color w:val="000000"/>
                <w:sz w:val="18"/>
                <w:szCs w:val="18"/>
              </w:rPr>
              <w:t>主管部门</w:t>
            </w:r>
          </w:p>
        </w:tc>
        <w:tc>
          <w:tcPr>
            <w:tcW w:w="1365" w:type="dxa"/>
            <w:tcBorders>
              <w:top w:val="single" w:color="000000" w:sz="4" w:space="0"/>
              <w:left w:val="nil"/>
              <w:bottom w:val="single" w:color="000000" w:sz="4" w:space="0"/>
              <w:right w:val="single" w:color="000000" w:sz="4" w:space="0"/>
            </w:tcBorders>
            <w:vAlign w:val="center"/>
          </w:tcPr>
          <w:p w14:paraId="5BBE6F8D">
            <w:pPr>
              <w:jc w:val="center"/>
              <w:rPr>
                <w:rFonts w:ascii="方正仿宋_GBK" w:eastAsia="方正仿宋_GBK"/>
                <w:color w:val="000000"/>
                <w:sz w:val="18"/>
                <w:szCs w:val="18"/>
              </w:rPr>
            </w:pPr>
            <w:r>
              <w:rPr>
                <w:rFonts w:hint="eastAsia" w:ascii="方正仿宋_GBK" w:eastAsia="方正仿宋_GBK"/>
                <w:color w:val="000000"/>
                <w:sz w:val="18"/>
                <w:szCs w:val="18"/>
              </w:rPr>
              <w:t>城口县工业园区管理委员会</w:t>
            </w:r>
          </w:p>
        </w:tc>
        <w:tc>
          <w:tcPr>
            <w:tcW w:w="1230" w:type="dxa"/>
            <w:tcBorders>
              <w:top w:val="single" w:color="000000" w:sz="4" w:space="0"/>
              <w:left w:val="nil"/>
              <w:bottom w:val="single" w:color="000000" w:sz="4" w:space="0"/>
              <w:right w:val="single" w:color="000000" w:sz="4" w:space="0"/>
            </w:tcBorders>
            <w:vAlign w:val="center"/>
          </w:tcPr>
          <w:p w14:paraId="7D537398">
            <w:pPr>
              <w:jc w:val="center"/>
              <w:textAlignment w:val="center"/>
              <w:rPr>
                <w:rFonts w:ascii="方正仿宋_GBK" w:eastAsia="方正仿宋_GBK"/>
                <w:color w:val="000000"/>
                <w:sz w:val="18"/>
                <w:szCs w:val="18"/>
              </w:rPr>
            </w:pPr>
            <w:r>
              <w:rPr>
                <w:rFonts w:hint="eastAsia" w:ascii="方正仿宋_GBK" w:eastAsia="方正仿宋_GBK"/>
                <w:color w:val="000000"/>
                <w:sz w:val="18"/>
                <w:szCs w:val="18"/>
              </w:rPr>
              <w:t>部门</w:t>
            </w:r>
            <w:r>
              <w:rPr>
                <w:rFonts w:hint="eastAsia" w:ascii="方正仿宋_GBK" w:eastAsia="方正仿宋_GBK"/>
                <w:color w:val="000000"/>
                <w:sz w:val="18"/>
                <w:szCs w:val="18"/>
              </w:rPr>
              <w:br w:type="textWrapping"/>
            </w:r>
            <w:r>
              <w:rPr>
                <w:rFonts w:hint="eastAsia" w:ascii="方正仿宋_GBK" w:eastAsia="方正仿宋_GBK"/>
                <w:color w:val="000000"/>
                <w:sz w:val="18"/>
                <w:szCs w:val="18"/>
              </w:rPr>
              <w:t>联系人</w:t>
            </w:r>
          </w:p>
        </w:tc>
        <w:tc>
          <w:tcPr>
            <w:tcW w:w="1875" w:type="dxa"/>
            <w:gridSpan w:val="2"/>
            <w:tcBorders>
              <w:top w:val="single" w:color="000000" w:sz="4" w:space="0"/>
              <w:left w:val="nil"/>
              <w:bottom w:val="single" w:color="000000" w:sz="4" w:space="0"/>
              <w:right w:val="single" w:color="000000" w:sz="4" w:space="0"/>
            </w:tcBorders>
            <w:noWrap/>
            <w:vAlign w:val="center"/>
          </w:tcPr>
          <w:p w14:paraId="1B389AC2">
            <w:pPr>
              <w:jc w:val="center"/>
              <w:rPr>
                <w:color w:val="000000"/>
                <w:sz w:val="20"/>
                <w:szCs w:val="20"/>
              </w:rPr>
            </w:pPr>
            <w:r>
              <w:rPr>
                <w:rFonts w:hint="eastAsia"/>
                <w:color w:val="000000"/>
                <w:sz w:val="20"/>
                <w:szCs w:val="20"/>
              </w:rPr>
              <w:t>郑艳玲</w:t>
            </w:r>
          </w:p>
        </w:tc>
        <w:tc>
          <w:tcPr>
            <w:tcW w:w="990" w:type="dxa"/>
            <w:tcBorders>
              <w:top w:val="single" w:color="000000" w:sz="4" w:space="0"/>
              <w:left w:val="nil"/>
              <w:bottom w:val="single" w:color="000000" w:sz="4" w:space="0"/>
              <w:right w:val="single" w:color="000000" w:sz="4" w:space="0"/>
            </w:tcBorders>
            <w:vAlign w:val="center"/>
          </w:tcPr>
          <w:p w14:paraId="02B29514">
            <w:pPr>
              <w:jc w:val="center"/>
              <w:textAlignment w:val="center"/>
              <w:rPr>
                <w:rFonts w:ascii="方正仿宋_GBK" w:eastAsia="方正仿宋_GBK"/>
                <w:color w:val="000000"/>
                <w:sz w:val="18"/>
                <w:szCs w:val="18"/>
              </w:rPr>
            </w:pPr>
            <w:r>
              <w:rPr>
                <w:rFonts w:hint="eastAsia" w:ascii="方正仿宋_GBK" w:eastAsia="方正仿宋_GBK"/>
                <w:color w:val="000000"/>
                <w:sz w:val="18"/>
                <w:szCs w:val="18"/>
              </w:rPr>
              <w:t>联系电话</w:t>
            </w:r>
          </w:p>
        </w:tc>
        <w:tc>
          <w:tcPr>
            <w:tcW w:w="1560" w:type="dxa"/>
            <w:gridSpan w:val="2"/>
            <w:tcBorders>
              <w:top w:val="single" w:color="000000" w:sz="4" w:space="0"/>
              <w:left w:val="nil"/>
              <w:bottom w:val="single" w:color="000000" w:sz="4" w:space="0"/>
              <w:right w:val="single" w:color="000000" w:sz="4" w:space="0"/>
            </w:tcBorders>
            <w:noWrap/>
            <w:vAlign w:val="center"/>
          </w:tcPr>
          <w:p w14:paraId="2195B3AD">
            <w:pPr>
              <w:jc w:val="center"/>
              <w:rPr>
                <w:color w:val="000000"/>
                <w:sz w:val="20"/>
                <w:szCs w:val="20"/>
              </w:rPr>
            </w:pPr>
            <w:r>
              <w:rPr>
                <w:rFonts w:hint="eastAsia"/>
                <w:color w:val="000000"/>
                <w:sz w:val="20"/>
                <w:szCs w:val="20"/>
              </w:rPr>
              <w:t>023-59222380</w:t>
            </w:r>
          </w:p>
        </w:tc>
        <w:tc>
          <w:tcPr>
            <w:tcW w:w="818" w:type="dxa"/>
            <w:tcBorders>
              <w:top w:val="single" w:color="000000" w:sz="4" w:space="0"/>
              <w:left w:val="nil"/>
              <w:bottom w:val="single" w:color="000000" w:sz="4" w:space="0"/>
              <w:right w:val="single" w:color="000000" w:sz="4" w:space="0"/>
            </w:tcBorders>
            <w:vAlign w:val="center"/>
          </w:tcPr>
          <w:p w14:paraId="4746E30E">
            <w:pPr>
              <w:jc w:val="center"/>
              <w:textAlignment w:val="center"/>
              <w:rPr>
                <w:rFonts w:ascii="方正仿宋_GBK" w:eastAsia="方正仿宋_GBK"/>
                <w:color w:val="000000"/>
                <w:sz w:val="18"/>
                <w:szCs w:val="18"/>
              </w:rPr>
            </w:pPr>
            <w:r>
              <w:rPr>
                <w:rFonts w:hint="eastAsia" w:ascii="方正仿宋_GBK" w:eastAsia="方正仿宋_GBK"/>
                <w:color w:val="000000"/>
                <w:sz w:val="18"/>
                <w:szCs w:val="18"/>
              </w:rPr>
              <w:t>自评总分</w:t>
            </w:r>
            <w:r>
              <w:rPr>
                <w:rFonts w:hint="eastAsia" w:ascii="方正仿宋_GBK" w:eastAsia="方正仿宋_GBK"/>
                <w:color w:val="000000"/>
                <w:sz w:val="18"/>
                <w:szCs w:val="18"/>
              </w:rPr>
              <w:br w:type="textWrapping"/>
            </w:r>
            <w:r>
              <w:rPr>
                <w:rFonts w:hint="eastAsia" w:ascii="方正仿宋_GBK" w:eastAsia="方正仿宋_GBK"/>
                <w:color w:val="000000"/>
                <w:sz w:val="18"/>
                <w:szCs w:val="18"/>
              </w:rPr>
              <w:t>（分）</w:t>
            </w:r>
          </w:p>
        </w:tc>
        <w:tc>
          <w:tcPr>
            <w:tcW w:w="963" w:type="dxa"/>
            <w:tcBorders>
              <w:top w:val="single" w:color="000000" w:sz="4" w:space="0"/>
              <w:left w:val="nil"/>
              <w:bottom w:val="single" w:color="000000" w:sz="4" w:space="0"/>
              <w:right w:val="single" w:color="000000" w:sz="4" w:space="0"/>
            </w:tcBorders>
            <w:noWrap/>
            <w:vAlign w:val="center"/>
          </w:tcPr>
          <w:p w14:paraId="1FB14469">
            <w:pPr>
              <w:jc w:val="center"/>
              <w:rPr>
                <w:color w:val="000000"/>
                <w:sz w:val="20"/>
                <w:szCs w:val="20"/>
              </w:rPr>
            </w:pPr>
            <w:r>
              <w:rPr>
                <w:rFonts w:hint="eastAsia"/>
                <w:color w:val="000000"/>
                <w:sz w:val="20"/>
                <w:szCs w:val="20"/>
              </w:rPr>
              <w:t>99.80</w:t>
            </w:r>
          </w:p>
        </w:tc>
      </w:tr>
      <w:tr w14:paraId="61F4726D">
        <w:tblPrEx>
          <w:tblCellMar>
            <w:top w:w="0" w:type="dxa"/>
            <w:left w:w="108" w:type="dxa"/>
            <w:bottom w:w="0" w:type="dxa"/>
            <w:right w:w="108" w:type="dxa"/>
          </w:tblCellMar>
        </w:tblPrEx>
        <w:trPr>
          <w:trHeight w:val="450" w:hRule="atLeast"/>
          <w:jc w:val="center"/>
        </w:trPr>
        <w:tc>
          <w:tcPr>
            <w:tcW w:w="739" w:type="dxa"/>
            <w:vMerge w:val="restart"/>
            <w:tcBorders>
              <w:top w:val="nil"/>
              <w:left w:val="single" w:color="000000" w:sz="4" w:space="0"/>
              <w:bottom w:val="single" w:color="000000" w:sz="4" w:space="0"/>
              <w:right w:val="single" w:color="000000" w:sz="4" w:space="0"/>
            </w:tcBorders>
            <w:vAlign w:val="center"/>
          </w:tcPr>
          <w:p w14:paraId="2B51179E">
            <w:pPr>
              <w:jc w:val="center"/>
              <w:textAlignment w:val="center"/>
              <w:rPr>
                <w:rFonts w:ascii="方正仿宋_GBK" w:eastAsia="方正仿宋_GBK"/>
                <w:color w:val="000000"/>
                <w:sz w:val="18"/>
                <w:szCs w:val="18"/>
              </w:rPr>
            </w:pPr>
            <w:r>
              <w:rPr>
                <w:rFonts w:hint="eastAsia" w:ascii="方正仿宋_GBK" w:eastAsia="方正仿宋_GBK"/>
                <w:color w:val="000000"/>
                <w:sz w:val="18"/>
                <w:szCs w:val="18"/>
              </w:rPr>
              <w:t>当年绩效</w:t>
            </w:r>
            <w:r>
              <w:rPr>
                <w:rFonts w:hint="eastAsia" w:ascii="方正仿宋_GBK" w:eastAsia="方正仿宋_GBK"/>
                <w:color w:val="000000"/>
                <w:sz w:val="18"/>
                <w:szCs w:val="18"/>
              </w:rPr>
              <w:br w:type="textWrapping"/>
            </w:r>
            <w:r>
              <w:rPr>
                <w:rFonts w:hint="eastAsia" w:ascii="方正仿宋_GBK" w:eastAsia="方正仿宋_GBK"/>
                <w:color w:val="000000"/>
                <w:sz w:val="18"/>
                <w:szCs w:val="18"/>
              </w:rPr>
              <w:t>目标</w:t>
            </w:r>
          </w:p>
        </w:tc>
        <w:tc>
          <w:tcPr>
            <w:tcW w:w="2595" w:type="dxa"/>
            <w:gridSpan w:val="2"/>
            <w:tcBorders>
              <w:top w:val="single" w:color="000000" w:sz="4" w:space="0"/>
              <w:left w:val="nil"/>
              <w:bottom w:val="single" w:color="000000" w:sz="4" w:space="0"/>
              <w:right w:val="single" w:color="000000" w:sz="4" w:space="0"/>
            </w:tcBorders>
            <w:vAlign w:val="center"/>
          </w:tcPr>
          <w:p w14:paraId="0B5EF2D4">
            <w:pPr>
              <w:jc w:val="center"/>
              <w:textAlignment w:val="center"/>
              <w:rPr>
                <w:rFonts w:ascii="方正仿宋_GBK" w:eastAsia="方正仿宋_GBK"/>
                <w:color w:val="000000"/>
                <w:sz w:val="18"/>
                <w:szCs w:val="18"/>
              </w:rPr>
            </w:pPr>
            <w:r>
              <w:rPr>
                <w:rFonts w:hint="eastAsia" w:ascii="方正仿宋_GBK" w:eastAsia="方正仿宋_GBK"/>
                <w:color w:val="000000"/>
                <w:sz w:val="18"/>
                <w:szCs w:val="18"/>
              </w:rPr>
              <w:t>年初绩效目标</w:t>
            </w:r>
          </w:p>
        </w:tc>
        <w:tc>
          <w:tcPr>
            <w:tcW w:w="2865" w:type="dxa"/>
            <w:gridSpan w:val="3"/>
            <w:tcBorders>
              <w:top w:val="single" w:color="000000" w:sz="4" w:space="0"/>
              <w:left w:val="nil"/>
              <w:bottom w:val="single" w:color="000000" w:sz="4" w:space="0"/>
              <w:right w:val="single" w:color="000000" w:sz="4" w:space="0"/>
            </w:tcBorders>
            <w:vAlign w:val="center"/>
          </w:tcPr>
          <w:p w14:paraId="1C4B5519">
            <w:pPr>
              <w:jc w:val="center"/>
              <w:textAlignment w:val="center"/>
              <w:rPr>
                <w:rFonts w:ascii="方正仿宋_GBK" w:eastAsia="方正仿宋_GBK"/>
                <w:color w:val="000000"/>
                <w:sz w:val="18"/>
                <w:szCs w:val="18"/>
              </w:rPr>
            </w:pPr>
            <w:r>
              <w:rPr>
                <w:rFonts w:hint="eastAsia" w:ascii="方正仿宋_GBK" w:eastAsia="方正仿宋_GBK"/>
                <w:color w:val="000000"/>
                <w:sz w:val="18"/>
                <w:szCs w:val="18"/>
              </w:rPr>
              <w:t>全年（调整）绩效目标</w:t>
            </w:r>
          </w:p>
        </w:tc>
        <w:tc>
          <w:tcPr>
            <w:tcW w:w="3341" w:type="dxa"/>
            <w:gridSpan w:val="4"/>
            <w:tcBorders>
              <w:top w:val="single" w:color="000000" w:sz="4" w:space="0"/>
              <w:left w:val="nil"/>
              <w:bottom w:val="single" w:color="000000" w:sz="4" w:space="0"/>
              <w:right w:val="single" w:color="000000" w:sz="4" w:space="0"/>
            </w:tcBorders>
            <w:vAlign w:val="center"/>
          </w:tcPr>
          <w:p w14:paraId="450FB2D8">
            <w:pPr>
              <w:jc w:val="center"/>
              <w:textAlignment w:val="center"/>
              <w:rPr>
                <w:rFonts w:ascii="方正仿宋_GBK" w:eastAsia="方正仿宋_GBK"/>
                <w:color w:val="000000"/>
                <w:sz w:val="18"/>
                <w:szCs w:val="18"/>
              </w:rPr>
            </w:pPr>
            <w:r>
              <w:rPr>
                <w:rFonts w:hint="eastAsia" w:ascii="方正仿宋_GBK" w:eastAsia="方正仿宋_GBK"/>
                <w:color w:val="000000"/>
                <w:sz w:val="18"/>
                <w:szCs w:val="18"/>
              </w:rPr>
              <w:t>全年目标实际完成情况</w:t>
            </w:r>
          </w:p>
        </w:tc>
      </w:tr>
      <w:tr w14:paraId="0BE5663D">
        <w:tblPrEx>
          <w:tblCellMar>
            <w:top w:w="0" w:type="dxa"/>
            <w:left w:w="108" w:type="dxa"/>
            <w:bottom w:w="0" w:type="dxa"/>
            <w:right w:w="108" w:type="dxa"/>
          </w:tblCellMar>
        </w:tblPrEx>
        <w:trPr>
          <w:trHeight w:val="1290" w:hRule="atLeast"/>
          <w:jc w:val="center"/>
        </w:trPr>
        <w:tc>
          <w:tcPr>
            <w:tcW w:w="9540" w:type="dxa"/>
            <w:vMerge w:val="continue"/>
            <w:tcBorders>
              <w:top w:val="nil"/>
              <w:left w:val="single" w:color="000000" w:sz="4" w:space="0"/>
              <w:bottom w:val="single" w:color="000000" w:sz="4" w:space="0"/>
              <w:right w:val="single" w:color="000000" w:sz="4" w:space="0"/>
            </w:tcBorders>
            <w:vAlign w:val="center"/>
          </w:tcPr>
          <w:p w14:paraId="005F29B8">
            <w:pPr>
              <w:rPr>
                <w:rFonts w:ascii="方正仿宋_GBK" w:eastAsia="方正仿宋_GBK"/>
                <w:color w:val="000000"/>
                <w:sz w:val="18"/>
                <w:szCs w:val="18"/>
              </w:rPr>
            </w:pPr>
          </w:p>
        </w:tc>
        <w:tc>
          <w:tcPr>
            <w:tcW w:w="2595" w:type="dxa"/>
            <w:gridSpan w:val="2"/>
            <w:tcBorders>
              <w:top w:val="single" w:color="000000" w:sz="4" w:space="0"/>
              <w:left w:val="nil"/>
              <w:bottom w:val="single" w:color="auto" w:sz="4" w:space="0"/>
              <w:right w:val="single" w:color="000000" w:sz="4" w:space="0"/>
            </w:tcBorders>
            <w:vAlign w:val="center"/>
          </w:tcPr>
          <w:p w14:paraId="1CCCE4EB">
            <w:pPr>
              <w:jc w:val="center"/>
              <w:rPr>
                <w:rFonts w:ascii="方正仿宋_GBK" w:eastAsia="方正仿宋_GBK"/>
                <w:color w:val="000000"/>
                <w:sz w:val="18"/>
                <w:szCs w:val="18"/>
              </w:rPr>
            </w:pPr>
            <w:r>
              <w:rPr>
                <w:rFonts w:hint="eastAsia" w:ascii="方正仿宋_GBK" w:eastAsia="方正仿宋_GBK"/>
                <w:color w:val="000000"/>
                <w:sz w:val="18"/>
                <w:szCs w:val="18"/>
              </w:rPr>
              <w:t>按要求，重新规划园区国土空间布局，明确四至范围。编制园区“十四五”发展规划。制定《城口县工业园区入驻企业管理办法》，建立入驻企业台账、土地管理台账，指导园区开发公司启动闲置土地和厂房清理处置工作。扎实推进坪坝农副食品中小企业聚区建设。</w:t>
            </w:r>
          </w:p>
        </w:tc>
        <w:tc>
          <w:tcPr>
            <w:tcW w:w="2865" w:type="dxa"/>
            <w:gridSpan w:val="3"/>
            <w:tcBorders>
              <w:top w:val="single" w:color="000000" w:sz="4" w:space="0"/>
              <w:left w:val="nil"/>
              <w:bottom w:val="single" w:color="auto" w:sz="4" w:space="0"/>
              <w:right w:val="single" w:color="000000" w:sz="4" w:space="0"/>
            </w:tcBorders>
            <w:vAlign w:val="center"/>
          </w:tcPr>
          <w:p w14:paraId="4CD3218D">
            <w:pPr>
              <w:jc w:val="center"/>
              <w:rPr>
                <w:rFonts w:ascii="方正仿宋_GBK" w:eastAsia="方正仿宋_GBK"/>
                <w:color w:val="000000"/>
                <w:sz w:val="18"/>
                <w:szCs w:val="18"/>
              </w:rPr>
            </w:pPr>
            <w:r>
              <w:rPr>
                <w:rFonts w:hint="eastAsia" w:ascii="方正仿宋_GBK" w:eastAsia="方正仿宋_GBK"/>
                <w:color w:val="000000"/>
                <w:sz w:val="18"/>
                <w:szCs w:val="18"/>
              </w:rPr>
              <w:t>按要求，重新规划园区国土空间布局，明确四至范围。编制园区“十四五”发展规划。制定《城口县工业园区入驻企业管理办法》，建立入驻企业台账、土地管理台账，指导园区开发公司启动闲置土地和厂房清理处置工作。扎实推进坪坝农副食品中小企业聚区建设。</w:t>
            </w:r>
          </w:p>
        </w:tc>
        <w:tc>
          <w:tcPr>
            <w:tcW w:w="3341" w:type="dxa"/>
            <w:gridSpan w:val="4"/>
            <w:tcBorders>
              <w:top w:val="single" w:color="000000" w:sz="4" w:space="0"/>
              <w:left w:val="nil"/>
              <w:bottom w:val="single" w:color="auto" w:sz="4" w:space="0"/>
              <w:right w:val="single" w:color="000000" w:sz="4" w:space="0"/>
            </w:tcBorders>
            <w:vAlign w:val="center"/>
          </w:tcPr>
          <w:p w14:paraId="31C010FA">
            <w:pPr>
              <w:jc w:val="center"/>
              <w:rPr>
                <w:rFonts w:ascii="方正仿宋_GBK" w:eastAsia="方正仿宋_GBK"/>
                <w:color w:val="000000"/>
                <w:sz w:val="18"/>
                <w:szCs w:val="18"/>
              </w:rPr>
            </w:pPr>
            <w:r>
              <w:rPr>
                <w:rFonts w:hint="eastAsia" w:ascii="方正仿宋_GBK" w:eastAsia="方正仿宋_GBK"/>
                <w:color w:val="000000"/>
                <w:sz w:val="18"/>
                <w:szCs w:val="18"/>
              </w:rPr>
              <w:t>按要求，重新规划园区国土空间布局，明确四至范围。编制园区“十四五”发展规划。制定《城口县工业园区入驻企业管理办法》，建立入驻企业台账、土地管理台账，指导园区开发公司启动闲置土地和厂房清理处置工作。扎实推进坪坝农副食品中小企业聚区建设。</w:t>
            </w:r>
          </w:p>
        </w:tc>
      </w:tr>
      <w:tr w14:paraId="0E933629">
        <w:tblPrEx>
          <w:tblCellMar>
            <w:top w:w="0" w:type="dxa"/>
            <w:left w:w="108" w:type="dxa"/>
            <w:bottom w:w="0" w:type="dxa"/>
            <w:right w:w="108" w:type="dxa"/>
          </w:tblCellMar>
        </w:tblPrEx>
        <w:trPr>
          <w:trHeight w:val="672" w:hRule="atLeast"/>
          <w:jc w:val="center"/>
        </w:trPr>
        <w:tc>
          <w:tcPr>
            <w:tcW w:w="739" w:type="dxa"/>
            <w:vMerge w:val="restart"/>
            <w:tcBorders>
              <w:top w:val="nil"/>
              <w:left w:val="single" w:color="auto" w:sz="4" w:space="0"/>
              <w:bottom w:val="single" w:color="auto" w:sz="4" w:space="0"/>
              <w:right w:val="single" w:color="auto" w:sz="4" w:space="0"/>
            </w:tcBorders>
            <w:vAlign w:val="center"/>
          </w:tcPr>
          <w:p w14:paraId="3D152738">
            <w:pPr>
              <w:jc w:val="center"/>
              <w:textAlignment w:val="center"/>
              <w:rPr>
                <w:rFonts w:ascii="方正仿宋_GBK" w:eastAsia="方正仿宋_GBK"/>
                <w:color w:val="000000"/>
                <w:sz w:val="18"/>
                <w:szCs w:val="18"/>
              </w:rPr>
            </w:pPr>
            <w:r>
              <w:rPr>
                <w:rFonts w:hint="eastAsia" w:ascii="方正仿宋_GBK" w:eastAsia="方正仿宋_GBK"/>
                <w:color w:val="000000"/>
                <w:sz w:val="18"/>
                <w:szCs w:val="18"/>
              </w:rPr>
              <w:t>绩效指标</w:t>
            </w:r>
          </w:p>
        </w:tc>
        <w:tc>
          <w:tcPr>
            <w:tcW w:w="1365" w:type="dxa"/>
            <w:tcBorders>
              <w:top w:val="single" w:color="auto" w:sz="4" w:space="0"/>
              <w:left w:val="nil"/>
              <w:bottom w:val="single" w:color="auto" w:sz="4" w:space="0"/>
              <w:right w:val="single" w:color="auto" w:sz="4" w:space="0"/>
            </w:tcBorders>
            <w:vAlign w:val="center"/>
          </w:tcPr>
          <w:p w14:paraId="60EA1FE6">
            <w:pPr>
              <w:jc w:val="center"/>
              <w:textAlignment w:val="center"/>
              <w:rPr>
                <w:rFonts w:ascii="方正仿宋_GBK" w:eastAsia="方正仿宋_GBK"/>
                <w:color w:val="000000"/>
                <w:sz w:val="18"/>
                <w:szCs w:val="18"/>
              </w:rPr>
            </w:pPr>
            <w:r>
              <w:rPr>
                <w:rFonts w:hint="eastAsia" w:ascii="方正仿宋_GBK" w:eastAsia="方正仿宋_GBK"/>
                <w:color w:val="000000"/>
                <w:sz w:val="18"/>
                <w:szCs w:val="18"/>
              </w:rPr>
              <w:t>指标名称</w:t>
            </w:r>
          </w:p>
        </w:tc>
        <w:tc>
          <w:tcPr>
            <w:tcW w:w="1230" w:type="dxa"/>
            <w:tcBorders>
              <w:top w:val="single" w:color="auto" w:sz="4" w:space="0"/>
              <w:left w:val="nil"/>
              <w:bottom w:val="single" w:color="auto" w:sz="4" w:space="0"/>
              <w:right w:val="single" w:color="auto" w:sz="4" w:space="0"/>
            </w:tcBorders>
            <w:vAlign w:val="center"/>
          </w:tcPr>
          <w:p w14:paraId="5D0A03E8">
            <w:pPr>
              <w:jc w:val="center"/>
              <w:textAlignment w:val="center"/>
              <w:rPr>
                <w:rFonts w:ascii="方正仿宋_GBK" w:eastAsia="方正仿宋_GBK"/>
                <w:color w:val="000000"/>
                <w:sz w:val="18"/>
                <w:szCs w:val="18"/>
              </w:rPr>
            </w:pPr>
            <w:r>
              <w:rPr>
                <w:rFonts w:hint="eastAsia" w:ascii="方正仿宋_GBK" w:eastAsia="方正仿宋_GBK"/>
                <w:color w:val="000000"/>
                <w:sz w:val="18"/>
                <w:szCs w:val="18"/>
              </w:rPr>
              <w:t>计量</w:t>
            </w:r>
            <w:r>
              <w:rPr>
                <w:rFonts w:hint="eastAsia" w:ascii="方正仿宋_GBK" w:eastAsia="方正仿宋_GBK"/>
                <w:color w:val="000000"/>
                <w:sz w:val="18"/>
                <w:szCs w:val="18"/>
              </w:rPr>
              <w:br w:type="textWrapping"/>
            </w:r>
            <w:r>
              <w:rPr>
                <w:rFonts w:hint="eastAsia" w:ascii="方正仿宋_GBK" w:eastAsia="方正仿宋_GBK"/>
                <w:color w:val="000000"/>
                <w:sz w:val="18"/>
                <w:szCs w:val="18"/>
              </w:rPr>
              <w:t>单位</w:t>
            </w:r>
          </w:p>
        </w:tc>
        <w:tc>
          <w:tcPr>
            <w:tcW w:w="870" w:type="dxa"/>
            <w:tcBorders>
              <w:top w:val="single" w:color="auto" w:sz="4" w:space="0"/>
              <w:left w:val="nil"/>
              <w:bottom w:val="single" w:color="auto" w:sz="4" w:space="0"/>
              <w:right w:val="single" w:color="auto" w:sz="4" w:space="0"/>
            </w:tcBorders>
            <w:vAlign w:val="center"/>
          </w:tcPr>
          <w:p w14:paraId="20F4409D">
            <w:pPr>
              <w:jc w:val="center"/>
              <w:textAlignment w:val="center"/>
              <w:rPr>
                <w:rFonts w:ascii="方正仿宋_GBK" w:eastAsia="方正仿宋_GBK"/>
                <w:color w:val="000000"/>
                <w:sz w:val="18"/>
                <w:szCs w:val="18"/>
              </w:rPr>
            </w:pPr>
            <w:r>
              <w:rPr>
                <w:rFonts w:hint="eastAsia" w:ascii="方正仿宋_GBK" w:eastAsia="方正仿宋_GBK"/>
                <w:color w:val="000000"/>
                <w:sz w:val="18"/>
                <w:szCs w:val="18"/>
              </w:rPr>
              <w:t>指标</w:t>
            </w:r>
            <w:r>
              <w:rPr>
                <w:rFonts w:hint="eastAsia" w:ascii="方正仿宋_GBK" w:eastAsia="方正仿宋_GBK"/>
                <w:color w:val="000000"/>
                <w:sz w:val="18"/>
                <w:szCs w:val="18"/>
              </w:rPr>
              <w:br w:type="textWrapping"/>
            </w:r>
            <w:r>
              <w:rPr>
                <w:rFonts w:hint="eastAsia" w:ascii="方正仿宋_GBK" w:eastAsia="方正仿宋_GBK"/>
                <w:color w:val="000000"/>
                <w:sz w:val="18"/>
                <w:szCs w:val="18"/>
              </w:rPr>
              <w:t>性质</w:t>
            </w:r>
          </w:p>
        </w:tc>
        <w:tc>
          <w:tcPr>
            <w:tcW w:w="1005" w:type="dxa"/>
            <w:tcBorders>
              <w:top w:val="single" w:color="auto" w:sz="4" w:space="0"/>
              <w:left w:val="nil"/>
              <w:bottom w:val="single" w:color="auto" w:sz="4" w:space="0"/>
              <w:right w:val="single" w:color="auto" w:sz="4" w:space="0"/>
            </w:tcBorders>
            <w:vAlign w:val="center"/>
          </w:tcPr>
          <w:p w14:paraId="379EB6A6">
            <w:pPr>
              <w:jc w:val="center"/>
              <w:textAlignment w:val="center"/>
              <w:rPr>
                <w:rFonts w:ascii="方正仿宋_GBK" w:eastAsia="方正仿宋_GBK"/>
                <w:color w:val="000000"/>
                <w:sz w:val="18"/>
                <w:szCs w:val="18"/>
              </w:rPr>
            </w:pPr>
            <w:r>
              <w:rPr>
                <w:rFonts w:hint="eastAsia" w:ascii="方正仿宋_GBK" w:eastAsia="方正仿宋_GBK"/>
                <w:color w:val="000000"/>
                <w:sz w:val="18"/>
                <w:szCs w:val="18"/>
              </w:rPr>
              <w:t>指标值</w:t>
            </w:r>
          </w:p>
        </w:tc>
        <w:tc>
          <w:tcPr>
            <w:tcW w:w="990" w:type="dxa"/>
            <w:tcBorders>
              <w:top w:val="single" w:color="auto" w:sz="4" w:space="0"/>
              <w:left w:val="nil"/>
              <w:bottom w:val="single" w:color="auto" w:sz="4" w:space="0"/>
              <w:right w:val="single" w:color="auto" w:sz="4" w:space="0"/>
            </w:tcBorders>
            <w:vAlign w:val="center"/>
          </w:tcPr>
          <w:p w14:paraId="55D24053">
            <w:pPr>
              <w:jc w:val="center"/>
              <w:textAlignment w:val="center"/>
              <w:rPr>
                <w:rFonts w:ascii="方正仿宋_GBK" w:eastAsia="方正仿宋_GBK"/>
                <w:color w:val="000000"/>
                <w:sz w:val="18"/>
                <w:szCs w:val="18"/>
              </w:rPr>
            </w:pPr>
            <w:r>
              <w:rPr>
                <w:rFonts w:hint="eastAsia" w:ascii="方正仿宋_GBK" w:eastAsia="方正仿宋_GBK"/>
                <w:color w:val="000000"/>
                <w:sz w:val="18"/>
                <w:szCs w:val="18"/>
              </w:rPr>
              <w:t>指标权重</w:t>
            </w:r>
            <w:r>
              <w:rPr>
                <w:rFonts w:hint="eastAsia" w:ascii="方正仿宋_GBK" w:eastAsia="方正仿宋_GBK"/>
                <w:color w:val="000000"/>
                <w:sz w:val="18"/>
                <w:szCs w:val="18"/>
              </w:rPr>
              <w:br w:type="textWrapping"/>
            </w:r>
            <w:r>
              <w:rPr>
                <w:rFonts w:hint="eastAsia" w:ascii="方正仿宋_GBK" w:eastAsia="方正仿宋_GBK"/>
                <w:color w:val="000000"/>
                <w:sz w:val="18"/>
                <w:szCs w:val="18"/>
              </w:rPr>
              <w:t>（分）</w:t>
            </w:r>
          </w:p>
        </w:tc>
        <w:tc>
          <w:tcPr>
            <w:tcW w:w="795" w:type="dxa"/>
            <w:tcBorders>
              <w:top w:val="single" w:color="auto" w:sz="4" w:space="0"/>
              <w:left w:val="nil"/>
              <w:bottom w:val="single" w:color="auto" w:sz="4" w:space="0"/>
              <w:right w:val="single" w:color="auto" w:sz="4" w:space="0"/>
            </w:tcBorders>
            <w:vAlign w:val="center"/>
          </w:tcPr>
          <w:p w14:paraId="616605F5">
            <w:pPr>
              <w:jc w:val="center"/>
              <w:textAlignment w:val="center"/>
              <w:rPr>
                <w:rFonts w:ascii="方正仿宋_GBK" w:eastAsia="方正仿宋_GBK"/>
                <w:color w:val="000000"/>
                <w:sz w:val="18"/>
                <w:szCs w:val="18"/>
              </w:rPr>
            </w:pPr>
            <w:r>
              <w:rPr>
                <w:rFonts w:hint="eastAsia" w:ascii="方正仿宋_GBK" w:eastAsia="方正仿宋_GBK"/>
                <w:color w:val="000000"/>
                <w:sz w:val="18"/>
                <w:szCs w:val="18"/>
              </w:rPr>
              <w:t>全年</w:t>
            </w:r>
            <w:r>
              <w:rPr>
                <w:rFonts w:hint="eastAsia" w:ascii="方正仿宋_GBK" w:eastAsia="方正仿宋_GBK"/>
                <w:color w:val="000000"/>
                <w:sz w:val="18"/>
                <w:szCs w:val="18"/>
              </w:rPr>
              <w:br w:type="textWrapping"/>
            </w:r>
            <w:r>
              <w:rPr>
                <w:rFonts w:hint="eastAsia" w:ascii="方正仿宋_GBK" w:eastAsia="方正仿宋_GBK"/>
                <w:color w:val="000000"/>
                <w:sz w:val="18"/>
                <w:szCs w:val="18"/>
              </w:rPr>
              <w:t>完成值</w:t>
            </w:r>
          </w:p>
        </w:tc>
        <w:tc>
          <w:tcPr>
            <w:tcW w:w="765" w:type="dxa"/>
            <w:tcBorders>
              <w:top w:val="single" w:color="auto" w:sz="4" w:space="0"/>
              <w:left w:val="nil"/>
              <w:bottom w:val="single" w:color="auto" w:sz="4" w:space="0"/>
              <w:right w:val="single" w:color="auto" w:sz="4" w:space="0"/>
            </w:tcBorders>
            <w:vAlign w:val="center"/>
          </w:tcPr>
          <w:p w14:paraId="60B95F9A">
            <w:pPr>
              <w:jc w:val="center"/>
              <w:textAlignment w:val="center"/>
              <w:rPr>
                <w:rFonts w:ascii="方正仿宋_GBK" w:eastAsia="方正仿宋_GBK"/>
                <w:color w:val="000000"/>
                <w:sz w:val="18"/>
                <w:szCs w:val="18"/>
              </w:rPr>
            </w:pPr>
            <w:r>
              <w:rPr>
                <w:rFonts w:hint="eastAsia" w:ascii="方正仿宋_GBK" w:eastAsia="方正仿宋_GBK"/>
                <w:color w:val="000000"/>
                <w:sz w:val="18"/>
                <w:szCs w:val="18"/>
              </w:rPr>
              <w:t>指标得（分）</w:t>
            </w:r>
          </w:p>
        </w:tc>
        <w:tc>
          <w:tcPr>
            <w:tcW w:w="1781" w:type="dxa"/>
            <w:gridSpan w:val="2"/>
            <w:tcBorders>
              <w:top w:val="single" w:color="auto" w:sz="4" w:space="0"/>
              <w:left w:val="nil"/>
              <w:bottom w:val="single" w:color="auto" w:sz="4" w:space="0"/>
              <w:right w:val="single" w:color="auto" w:sz="4" w:space="0"/>
            </w:tcBorders>
            <w:vAlign w:val="center"/>
          </w:tcPr>
          <w:p w14:paraId="2AA6F01A">
            <w:pPr>
              <w:jc w:val="center"/>
              <w:textAlignment w:val="center"/>
              <w:rPr>
                <w:rFonts w:ascii="方正仿宋_GBK" w:eastAsia="方正仿宋_GBK"/>
                <w:color w:val="000000"/>
                <w:sz w:val="18"/>
                <w:szCs w:val="18"/>
              </w:rPr>
            </w:pPr>
            <w:r>
              <w:rPr>
                <w:rFonts w:hint="eastAsia" w:ascii="方正仿宋_GBK" w:eastAsia="方正仿宋_GBK"/>
                <w:color w:val="000000"/>
                <w:sz w:val="18"/>
                <w:szCs w:val="18"/>
              </w:rPr>
              <w:t>说明</w:t>
            </w:r>
          </w:p>
        </w:tc>
      </w:tr>
      <w:tr w14:paraId="669A1A41">
        <w:tblPrEx>
          <w:tblCellMar>
            <w:top w:w="0" w:type="dxa"/>
            <w:left w:w="108" w:type="dxa"/>
            <w:bottom w:w="0" w:type="dxa"/>
            <w:right w:w="108" w:type="dxa"/>
          </w:tblCellMar>
        </w:tblPrEx>
        <w:trPr>
          <w:trHeight w:val="648" w:hRule="atLeast"/>
          <w:jc w:val="center"/>
        </w:trPr>
        <w:tc>
          <w:tcPr>
            <w:tcW w:w="9540" w:type="dxa"/>
            <w:vMerge w:val="continue"/>
            <w:tcBorders>
              <w:top w:val="nil"/>
              <w:left w:val="single" w:color="auto" w:sz="4" w:space="0"/>
              <w:bottom w:val="single" w:color="auto" w:sz="4" w:space="0"/>
              <w:right w:val="single" w:color="auto" w:sz="4" w:space="0"/>
            </w:tcBorders>
            <w:vAlign w:val="center"/>
          </w:tcPr>
          <w:p w14:paraId="0B851C21">
            <w:pPr>
              <w:rPr>
                <w:rFonts w:ascii="方正仿宋_GBK" w:eastAsia="方正仿宋_GBK"/>
                <w:color w:val="000000"/>
                <w:sz w:val="18"/>
                <w:szCs w:val="18"/>
              </w:rPr>
            </w:pPr>
          </w:p>
        </w:tc>
        <w:tc>
          <w:tcPr>
            <w:tcW w:w="1365" w:type="dxa"/>
            <w:tcBorders>
              <w:top w:val="single" w:color="auto" w:sz="4" w:space="0"/>
              <w:left w:val="nil"/>
              <w:bottom w:val="single" w:color="auto" w:sz="4" w:space="0"/>
              <w:right w:val="single" w:color="auto" w:sz="4" w:space="0"/>
            </w:tcBorders>
            <w:vAlign w:val="center"/>
          </w:tcPr>
          <w:p w14:paraId="49F5593C">
            <w:pPr>
              <w:ind w:firstLine="180" w:firstLineChars="100"/>
              <w:textAlignment w:val="center"/>
              <w:rPr>
                <w:rFonts w:ascii="Times New Roman" w:hAnsi="Times New Roman" w:eastAsia="方正仿宋_GBK" w:cs="Times New Roman"/>
                <w:color w:val="000000"/>
                <w:sz w:val="18"/>
                <w:szCs w:val="18"/>
              </w:rPr>
            </w:pPr>
            <w:r>
              <w:rPr>
                <w:rFonts w:hint="eastAsia" w:ascii="方正仿宋_GBK" w:eastAsia="方正仿宋_GBK"/>
                <w:color w:val="000000"/>
                <w:sz w:val="18"/>
                <w:szCs w:val="18"/>
              </w:rPr>
              <w:t>各项目收支及管理规范合理性</w:t>
            </w:r>
          </w:p>
        </w:tc>
        <w:tc>
          <w:tcPr>
            <w:tcW w:w="1230" w:type="dxa"/>
            <w:tcBorders>
              <w:top w:val="single" w:color="auto" w:sz="4" w:space="0"/>
              <w:left w:val="nil"/>
              <w:bottom w:val="single" w:color="auto" w:sz="4" w:space="0"/>
              <w:right w:val="single" w:color="auto" w:sz="4" w:space="0"/>
            </w:tcBorders>
            <w:vAlign w:val="center"/>
          </w:tcPr>
          <w:p w14:paraId="3659050E">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w:t>
            </w:r>
          </w:p>
        </w:tc>
        <w:tc>
          <w:tcPr>
            <w:tcW w:w="870" w:type="dxa"/>
            <w:tcBorders>
              <w:top w:val="single" w:color="auto" w:sz="4" w:space="0"/>
              <w:left w:val="nil"/>
              <w:bottom w:val="single" w:color="auto" w:sz="4" w:space="0"/>
              <w:right w:val="single" w:color="auto" w:sz="4" w:space="0"/>
            </w:tcBorders>
            <w:vAlign w:val="center"/>
          </w:tcPr>
          <w:p w14:paraId="33E4A61B">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w:t>
            </w:r>
          </w:p>
        </w:tc>
        <w:tc>
          <w:tcPr>
            <w:tcW w:w="1005" w:type="dxa"/>
            <w:tcBorders>
              <w:top w:val="single" w:color="auto" w:sz="4" w:space="0"/>
              <w:left w:val="nil"/>
              <w:bottom w:val="single" w:color="auto" w:sz="4" w:space="0"/>
              <w:right w:val="single" w:color="auto" w:sz="4" w:space="0"/>
            </w:tcBorders>
            <w:vAlign w:val="center"/>
          </w:tcPr>
          <w:p w14:paraId="5C8C7B07">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90</w:t>
            </w:r>
          </w:p>
        </w:tc>
        <w:tc>
          <w:tcPr>
            <w:tcW w:w="990" w:type="dxa"/>
            <w:tcBorders>
              <w:top w:val="single" w:color="auto" w:sz="4" w:space="0"/>
              <w:left w:val="nil"/>
              <w:bottom w:val="single" w:color="auto" w:sz="4" w:space="0"/>
              <w:right w:val="single" w:color="auto" w:sz="4" w:space="0"/>
            </w:tcBorders>
            <w:vAlign w:val="center"/>
          </w:tcPr>
          <w:p w14:paraId="6D08E0BA">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10</w:t>
            </w:r>
          </w:p>
        </w:tc>
        <w:tc>
          <w:tcPr>
            <w:tcW w:w="795" w:type="dxa"/>
            <w:tcBorders>
              <w:top w:val="single" w:color="auto" w:sz="4" w:space="0"/>
              <w:left w:val="nil"/>
              <w:bottom w:val="single" w:color="auto" w:sz="4" w:space="0"/>
              <w:right w:val="single" w:color="auto" w:sz="4" w:space="0"/>
            </w:tcBorders>
            <w:vAlign w:val="center"/>
          </w:tcPr>
          <w:p w14:paraId="17DEC106">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90</w:t>
            </w:r>
          </w:p>
        </w:tc>
        <w:tc>
          <w:tcPr>
            <w:tcW w:w="765" w:type="dxa"/>
            <w:tcBorders>
              <w:top w:val="single" w:color="auto" w:sz="4" w:space="0"/>
              <w:left w:val="nil"/>
              <w:bottom w:val="single" w:color="auto" w:sz="4" w:space="0"/>
              <w:right w:val="single" w:color="auto" w:sz="4" w:space="0"/>
            </w:tcBorders>
            <w:vAlign w:val="center"/>
          </w:tcPr>
          <w:p w14:paraId="43C505A0">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10</w:t>
            </w:r>
          </w:p>
        </w:tc>
        <w:tc>
          <w:tcPr>
            <w:tcW w:w="1781" w:type="dxa"/>
            <w:gridSpan w:val="2"/>
            <w:tcBorders>
              <w:top w:val="single" w:color="auto" w:sz="4" w:space="0"/>
              <w:left w:val="nil"/>
              <w:bottom w:val="single" w:color="auto" w:sz="4" w:space="0"/>
              <w:right w:val="single" w:color="auto" w:sz="4" w:space="0"/>
            </w:tcBorders>
            <w:vAlign w:val="center"/>
          </w:tcPr>
          <w:p w14:paraId="1D9DFE27">
            <w:pPr>
              <w:rPr>
                <w:rFonts w:ascii="Times New Roman" w:hAnsi="Times New Roman" w:eastAsia="方正仿宋_GBK" w:cs="Times New Roman"/>
                <w:color w:val="000000"/>
                <w:sz w:val="18"/>
                <w:szCs w:val="18"/>
              </w:rPr>
            </w:pPr>
          </w:p>
        </w:tc>
      </w:tr>
      <w:tr w14:paraId="66194363">
        <w:tblPrEx>
          <w:tblCellMar>
            <w:top w:w="0" w:type="dxa"/>
            <w:left w:w="108" w:type="dxa"/>
            <w:bottom w:w="0" w:type="dxa"/>
            <w:right w:w="108" w:type="dxa"/>
          </w:tblCellMar>
        </w:tblPrEx>
        <w:trPr>
          <w:trHeight w:val="648" w:hRule="atLeast"/>
          <w:jc w:val="center"/>
        </w:trPr>
        <w:tc>
          <w:tcPr>
            <w:tcW w:w="9540" w:type="dxa"/>
            <w:vMerge w:val="continue"/>
            <w:tcBorders>
              <w:top w:val="nil"/>
              <w:left w:val="single" w:color="auto" w:sz="4" w:space="0"/>
              <w:bottom w:val="single" w:color="auto" w:sz="4" w:space="0"/>
              <w:right w:val="single" w:color="auto" w:sz="4" w:space="0"/>
            </w:tcBorders>
            <w:vAlign w:val="center"/>
          </w:tcPr>
          <w:p w14:paraId="4078F854">
            <w:pPr>
              <w:rPr>
                <w:rFonts w:ascii="方正仿宋_GBK" w:eastAsia="方正仿宋_GBK"/>
                <w:color w:val="000000"/>
                <w:sz w:val="18"/>
                <w:szCs w:val="18"/>
              </w:rPr>
            </w:pPr>
          </w:p>
        </w:tc>
        <w:tc>
          <w:tcPr>
            <w:tcW w:w="1365" w:type="dxa"/>
            <w:tcBorders>
              <w:top w:val="single" w:color="auto" w:sz="4" w:space="0"/>
              <w:left w:val="nil"/>
              <w:bottom w:val="single" w:color="auto" w:sz="4" w:space="0"/>
              <w:right w:val="single" w:color="auto" w:sz="4" w:space="0"/>
            </w:tcBorders>
            <w:vAlign w:val="center"/>
          </w:tcPr>
          <w:p w14:paraId="432439DD">
            <w:pPr>
              <w:ind w:firstLine="180" w:firstLineChars="100"/>
              <w:textAlignment w:val="center"/>
              <w:rPr>
                <w:rFonts w:ascii="Times New Roman" w:hAnsi="Times New Roman" w:eastAsia="方正仿宋_GBK" w:cs="Times New Roman"/>
                <w:color w:val="000000"/>
                <w:sz w:val="18"/>
                <w:szCs w:val="18"/>
              </w:rPr>
            </w:pPr>
            <w:r>
              <w:rPr>
                <w:rFonts w:hint="eastAsia" w:ascii="方正仿宋_GBK" w:eastAsia="方正仿宋_GBK"/>
                <w:color w:val="000000"/>
                <w:sz w:val="18"/>
                <w:szCs w:val="18"/>
              </w:rPr>
              <w:t>公用经费控制率</w:t>
            </w:r>
          </w:p>
        </w:tc>
        <w:tc>
          <w:tcPr>
            <w:tcW w:w="1230" w:type="dxa"/>
            <w:tcBorders>
              <w:top w:val="single" w:color="auto" w:sz="4" w:space="0"/>
              <w:left w:val="nil"/>
              <w:bottom w:val="single" w:color="auto" w:sz="4" w:space="0"/>
              <w:right w:val="single" w:color="auto" w:sz="4" w:space="0"/>
            </w:tcBorders>
            <w:vAlign w:val="center"/>
          </w:tcPr>
          <w:p w14:paraId="5A82E230">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w:t>
            </w:r>
          </w:p>
        </w:tc>
        <w:tc>
          <w:tcPr>
            <w:tcW w:w="870" w:type="dxa"/>
            <w:tcBorders>
              <w:top w:val="single" w:color="auto" w:sz="4" w:space="0"/>
              <w:left w:val="nil"/>
              <w:bottom w:val="single" w:color="auto" w:sz="4" w:space="0"/>
              <w:right w:val="single" w:color="auto" w:sz="4" w:space="0"/>
            </w:tcBorders>
            <w:vAlign w:val="center"/>
          </w:tcPr>
          <w:p w14:paraId="30C61AD4">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w:t>
            </w:r>
          </w:p>
        </w:tc>
        <w:tc>
          <w:tcPr>
            <w:tcW w:w="1005" w:type="dxa"/>
            <w:tcBorders>
              <w:top w:val="single" w:color="auto" w:sz="4" w:space="0"/>
              <w:left w:val="nil"/>
              <w:bottom w:val="single" w:color="auto" w:sz="4" w:space="0"/>
              <w:right w:val="single" w:color="auto" w:sz="4" w:space="0"/>
            </w:tcBorders>
            <w:vAlign w:val="center"/>
          </w:tcPr>
          <w:p w14:paraId="7811B669">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100</w:t>
            </w:r>
          </w:p>
        </w:tc>
        <w:tc>
          <w:tcPr>
            <w:tcW w:w="990" w:type="dxa"/>
            <w:tcBorders>
              <w:top w:val="single" w:color="auto" w:sz="4" w:space="0"/>
              <w:left w:val="nil"/>
              <w:bottom w:val="single" w:color="auto" w:sz="4" w:space="0"/>
              <w:right w:val="single" w:color="auto" w:sz="4" w:space="0"/>
            </w:tcBorders>
            <w:vAlign w:val="center"/>
          </w:tcPr>
          <w:p w14:paraId="5DFCD1D9">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10</w:t>
            </w:r>
          </w:p>
        </w:tc>
        <w:tc>
          <w:tcPr>
            <w:tcW w:w="795" w:type="dxa"/>
            <w:tcBorders>
              <w:top w:val="single" w:color="auto" w:sz="4" w:space="0"/>
              <w:left w:val="nil"/>
              <w:bottom w:val="single" w:color="auto" w:sz="4" w:space="0"/>
              <w:right w:val="single" w:color="auto" w:sz="4" w:space="0"/>
            </w:tcBorders>
            <w:vAlign w:val="center"/>
          </w:tcPr>
          <w:p w14:paraId="2641700F">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100</w:t>
            </w:r>
          </w:p>
        </w:tc>
        <w:tc>
          <w:tcPr>
            <w:tcW w:w="765" w:type="dxa"/>
            <w:tcBorders>
              <w:top w:val="single" w:color="auto" w:sz="4" w:space="0"/>
              <w:left w:val="nil"/>
              <w:bottom w:val="single" w:color="auto" w:sz="4" w:space="0"/>
              <w:right w:val="single" w:color="auto" w:sz="4" w:space="0"/>
            </w:tcBorders>
            <w:vAlign w:val="center"/>
          </w:tcPr>
          <w:p w14:paraId="2126E407">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10</w:t>
            </w:r>
          </w:p>
        </w:tc>
        <w:tc>
          <w:tcPr>
            <w:tcW w:w="1781" w:type="dxa"/>
            <w:gridSpan w:val="2"/>
            <w:tcBorders>
              <w:top w:val="single" w:color="auto" w:sz="4" w:space="0"/>
              <w:left w:val="nil"/>
              <w:bottom w:val="single" w:color="auto" w:sz="4" w:space="0"/>
              <w:right w:val="single" w:color="auto" w:sz="4" w:space="0"/>
            </w:tcBorders>
            <w:vAlign w:val="center"/>
          </w:tcPr>
          <w:p w14:paraId="3A929056">
            <w:pPr>
              <w:rPr>
                <w:rFonts w:ascii="Times New Roman" w:hAnsi="Times New Roman" w:eastAsia="方正仿宋_GBK" w:cs="Times New Roman"/>
                <w:color w:val="000000"/>
                <w:sz w:val="18"/>
                <w:szCs w:val="18"/>
              </w:rPr>
            </w:pPr>
          </w:p>
        </w:tc>
      </w:tr>
      <w:tr w14:paraId="58F26BD9">
        <w:tblPrEx>
          <w:tblCellMar>
            <w:top w:w="0" w:type="dxa"/>
            <w:left w:w="108" w:type="dxa"/>
            <w:bottom w:w="0" w:type="dxa"/>
            <w:right w:w="108" w:type="dxa"/>
          </w:tblCellMar>
        </w:tblPrEx>
        <w:trPr>
          <w:trHeight w:val="648" w:hRule="atLeast"/>
          <w:jc w:val="center"/>
        </w:trPr>
        <w:tc>
          <w:tcPr>
            <w:tcW w:w="9540" w:type="dxa"/>
            <w:vMerge w:val="continue"/>
            <w:tcBorders>
              <w:top w:val="nil"/>
              <w:left w:val="single" w:color="auto" w:sz="4" w:space="0"/>
              <w:bottom w:val="single" w:color="auto" w:sz="4" w:space="0"/>
              <w:right w:val="single" w:color="auto" w:sz="4" w:space="0"/>
            </w:tcBorders>
            <w:vAlign w:val="center"/>
          </w:tcPr>
          <w:p w14:paraId="50602E80">
            <w:pPr>
              <w:rPr>
                <w:rFonts w:ascii="方正仿宋_GBK" w:eastAsia="方正仿宋_GBK"/>
                <w:color w:val="000000"/>
                <w:sz w:val="18"/>
                <w:szCs w:val="18"/>
              </w:rPr>
            </w:pPr>
          </w:p>
        </w:tc>
        <w:tc>
          <w:tcPr>
            <w:tcW w:w="1365" w:type="dxa"/>
            <w:tcBorders>
              <w:top w:val="single" w:color="auto" w:sz="4" w:space="0"/>
              <w:left w:val="nil"/>
              <w:bottom w:val="single" w:color="auto" w:sz="4" w:space="0"/>
              <w:right w:val="single" w:color="auto" w:sz="4" w:space="0"/>
            </w:tcBorders>
            <w:vAlign w:val="center"/>
          </w:tcPr>
          <w:p w14:paraId="6D0EA93E">
            <w:pPr>
              <w:ind w:firstLine="180" w:firstLineChars="100"/>
              <w:textAlignment w:val="center"/>
              <w:rPr>
                <w:rFonts w:ascii="Times New Roman" w:hAnsi="Times New Roman" w:eastAsia="方正仿宋_GBK" w:cs="Times New Roman"/>
                <w:color w:val="000000"/>
                <w:sz w:val="18"/>
                <w:szCs w:val="18"/>
              </w:rPr>
            </w:pPr>
            <w:r>
              <w:rPr>
                <w:rFonts w:hint="eastAsia" w:ascii="方正仿宋_GBK" w:eastAsia="方正仿宋_GBK"/>
                <w:color w:val="000000"/>
                <w:sz w:val="18"/>
                <w:szCs w:val="18"/>
              </w:rPr>
              <w:t>基本支出预算控制率</w:t>
            </w:r>
          </w:p>
        </w:tc>
        <w:tc>
          <w:tcPr>
            <w:tcW w:w="1230" w:type="dxa"/>
            <w:tcBorders>
              <w:top w:val="single" w:color="auto" w:sz="4" w:space="0"/>
              <w:left w:val="nil"/>
              <w:bottom w:val="single" w:color="auto" w:sz="4" w:space="0"/>
              <w:right w:val="single" w:color="auto" w:sz="4" w:space="0"/>
            </w:tcBorders>
            <w:vAlign w:val="center"/>
          </w:tcPr>
          <w:p w14:paraId="371DEA86">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w:t>
            </w:r>
          </w:p>
        </w:tc>
        <w:tc>
          <w:tcPr>
            <w:tcW w:w="870" w:type="dxa"/>
            <w:tcBorders>
              <w:top w:val="single" w:color="auto" w:sz="4" w:space="0"/>
              <w:left w:val="nil"/>
              <w:bottom w:val="single" w:color="auto" w:sz="4" w:space="0"/>
              <w:right w:val="single" w:color="auto" w:sz="4" w:space="0"/>
            </w:tcBorders>
            <w:vAlign w:val="center"/>
          </w:tcPr>
          <w:p w14:paraId="3F935E3B">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w:t>
            </w:r>
          </w:p>
        </w:tc>
        <w:tc>
          <w:tcPr>
            <w:tcW w:w="1005" w:type="dxa"/>
            <w:tcBorders>
              <w:top w:val="single" w:color="auto" w:sz="4" w:space="0"/>
              <w:left w:val="nil"/>
              <w:bottom w:val="single" w:color="auto" w:sz="4" w:space="0"/>
              <w:right w:val="single" w:color="auto" w:sz="4" w:space="0"/>
            </w:tcBorders>
            <w:vAlign w:val="center"/>
          </w:tcPr>
          <w:p w14:paraId="426FBA73">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150</w:t>
            </w:r>
          </w:p>
        </w:tc>
        <w:tc>
          <w:tcPr>
            <w:tcW w:w="990" w:type="dxa"/>
            <w:tcBorders>
              <w:top w:val="single" w:color="auto" w:sz="4" w:space="0"/>
              <w:left w:val="nil"/>
              <w:bottom w:val="single" w:color="auto" w:sz="4" w:space="0"/>
              <w:right w:val="single" w:color="auto" w:sz="4" w:space="0"/>
            </w:tcBorders>
            <w:vAlign w:val="center"/>
          </w:tcPr>
          <w:p w14:paraId="74A2503C">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10</w:t>
            </w:r>
          </w:p>
        </w:tc>
        <w:tc>
          <w:tcPr>
            <w:tcW w:w="795" w:type="dxa"/>
            <w:tcBorders>
              <w:top w:val="single" w:color="auto" w:sz="4" w:space="0"/>
              <w:left w:val="nil"/>
              <w:bottom w:val="single" w:color="auto" w:sz="4" w:space="0"/>
              <w:right w:val="single" w:color="auto" w:sz="4" w:space="0"/>
            </w:tcBorders>
            <w:vAlign w:val="center"/>
          </w:tcPr>
          <w:p w14:paraId="5B403965">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150</w:t>
            </w:r>
          </w:p>
        </w:tc>
        <w:tc>
          <w:tcPr>
            <w:tcW w:w="765" w:type="dxa"/>
            <w:tcBorders>
              <w:top w:val="single" w:color="auto" w:sz="4" w:space="0"/>
              <w:left w:val="nil"/>
              <w:bottom w:val="single" w:color="auto" w:sz="4" w:space="0"/>
              <w:right w:val="single" w:color="auto" w:sz="4" w:space="0"/>
            </w:tcBorders>
            <w:vAlign w:val="center"/>
          </w:tcPr>
          <w:p w14:paraId="79975794">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10</w:t>
            </w:r>
          </w:p>
        </w:tc>
        <w:tc>
          <w:tcPr>
            <w:tcW w:w="1781" w:type="dxa"/>
            <w:gridSpan w:val="2"/>
            <w:tcBorders>
              <w:top w:val="single" w:color="auto" w:sz="4" w:space="0"/>
              <w:left w:val="nil"/>
              <w:bottom w:val="single" w:color="auto" w:sz="4" w:space="0"/>
              <w:right w:val="single" w:color="auto" w:sz="4" w:space="0"/>
            </w:tcBorders>
            <w:vAlign w:val="center"/>
          </w:tcPr>
          <w:p w14:paraId="1568755E">
            <w:pPr>
              <w:rPr>
                <w:rFonts w:ascii="Times New Roman" w:hAnsi="Times New Roman" w:eastAsia="方正仿宋_GBK" w:cs="Times New Roman"/>
                <w:color w:val="000000"/>
                <w:sz w:val="18"/>
                <w:szCs w:val="18"/>
              </w:rPr>
            </w:pPr>
          </w:p>
        </w:tc>
      </w:tr>
      <w:tr w14:paraId="6EA78BA8">
        <w:tblPrEx>
          <w:tblCellMar>
            <w:top w:w="0" w:type="dxa"/>
            <w:left w:w="108" w:type="dxa"/>
            <w:bottom w:w="0" w:type="dxa"/>
            <w:right w:w="108" w:type="dxa"/>
          </w:tblCellMar>
        </w:tblPrEx>
        <w:trPr>
          <w:trHeight w:val="648" w:hRule="atLeast"/>
          <w:jc w:val="center"/>
        </w:trPr>
        <w:tc>
          <w:tcPr>
            <w:tcW w:w="9540" w:type="dxa"/>
            <w:vMerge w:val="continue"/>
            <w:tcBorders>
              <w:top w:val="nil"/>
              <w:left w:val="single" w:color="auto" w:sz="4" w:space="0"/>
              <w:bottom w:val="single" w:color="auto" w:sz="4" w:space="0"/>
              <w:right w:val="single" w:color="auto" w:sz="4" w:space="0"/>
            </w:tcBorders>
            <w:vAlign w:val="center"/>
          </w:tcPr>
          <w:p w14:paraId="28F48526">
            <w:pPr>
              <w:rPr>
                <w:rFonts w:ascii="方正仿宋_GBK" w:eastAsia="方正仿宋_GBK"/>
                <w:color w:val="000000"/>
                <w:sz w:val="18"/>
                <w:szCs w:val="18"/>
              </w:rPr>
            </w:pPr>
          </w:p>
        </w:tc>
        <w:tc>
          <w:tcPr>
            <w:tcW w:w="1365" w:type="dxa"/>
            <w:tcBorders>
              <w:top w:val="single" w:color="auto" w:sz="4" w:space="0"/>
              <w:left w:val="nil"/>
              <w:bottom w:val="single" w:color="auto" w:sz="4" w:space="0"/>
              <w:right w:val="single" w:color="auto" w:sz="4" w:space="0"/>
            </w:tcBorders>
            <w:vAlign w:val="center"/>
          </w:tcPr>
          <w:p w14:paraId="06C1CD6D">
            <w:pPr>
              <w:ind w:firstLine="180" w:firstLineChars="100"/>
              <w:textAlignment w:val="center"/>
              <w:rPr>
                <w:rFonts w:ascii="Times New Roman" w:hAnsi="Times New Roman" w:eastAsia="方正仿宋_GBK" w:cs="Times New Roman"/>
                <w:color w:val="000000"/>
                <w:sz w:val="18"/>
                <w:szCs w:val="18"/>
              </w:rPr>
            </w:pPr>
            <w:r>
              <w:rPr>
                <w:rFonts w:hint="eastAsia" w:ascii="方正仿宋_GBK" w:eastAsia="方正仿宋_GBK"/>
                <w:color w:val="000000"/>
                <w:sz w:val="18"/>
                <w:szCs w:val="18"/>
              </w:rPr>
              <w:t>结转结余率</w:t>
            </w:r>
          </w:p>
        </w:tc>
        <w:tc>
          <w:tcPr>
            <w:tcW w:w="1230" w:type="dxa"/>
            <w:tcBorders>
              <w:top w:val="single" w:color="auto" w:sz="4" w:space="0"/>
              <w:left w:val="nil"/>
              <w:bottom w:val="single" w:color="auto" w:sz="4" w:space="0"/>
              <w:right w:val="single" w:color="auto" w:sz="4" w:space="0"/>
            </w:tcBorders>
            <w:vAlign w:val="center"/>
          </w:tcPr>
          <w:p w14:paraId="4B3F089E">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w:t>
            </w:r>
          </w:p>
        </w:tc>
        <w:tc>
          <w:tcPr>
            <w:tcW w:w="870" w:type="dxa"/>
            <w:tcBorders>
              <w:top w:val="single" w:color="auto" w:sz="4" w:space="0"/>
              <w:left w:val="nil"/>
              <w:bottom w:val="single" w:color="auto" w:sz="4" w:space="0"/>
              <w:right w:val="single" w:color="auto" w:sz="4" w:space="0"/>
            </w:tcBorders>
            <w:vAlign w:val="center"/>
          </w:tcPr>
          <w:p w14:paraId="2CC9AA03">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w:t>
            </w:r>
          </w:p>
        </w:tc>
        <w:tc>
          <w:tcPr>
            <w:tcW w:w="1005" w:type="dxa"/>
            <w:tcBorders>
              <w:top w:val="single" w:color="auto" w:sz="4" w:space="0"/>
              <w:left w:val="nil"/>
              <w:bottom w:val="single" w:color="auto" w:sz="4" w:space="0"/>
              <w:right w:val="single" w:color="auto" w:sz="4" w:space="0"/>
            </w:tcBorders>
            <w:vAlign w:val="center"/>
          </w:tcPr>
          <w:p w14:paraId="20126CBB">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9</w:t>
            </w:r>
          </w:p>
        </w:tc>
        <w:tc>
          <w:tcPr>
            <w:tcW w:w="990" w:type="dxa"/>
            <w:tcBorders>
              <w:top w:val="single" w:color="auto" w:sz="4" w:space="0"/>
              <w:left w:val="nil"/>
              <w:bottom w:val="single" w:color="auto" w:sz="4" w:space="0"/>
              <w:right w:val="single" w:color="auto" w:sz="4" w:space="0"/>
            </w:tcBorders>
            <w:vAlign w:val="center"/>
          </w:tcPr>
          <w:p w14:paraId="6833FE0C">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10</w:t>
            </w:r>
          </w:p>
        </w:tc>
        <w:tc>
          <w:tcPr>
            <w:tcW w:w="795" w:type="dxa"/>
            <w:tcBorders>
              <w:top w:val="single" w:color="auto" w:sz="4" w:space="0"/>
              <w:left w:val="nil"/>
              <w:bottom w:val="single" w:color="auto" w:sz="4" w:space="0"/>
              <w:right w:val="single" w:color="auto" w:sz="4" w:space="0"/>
            </w:tcBorders>
            <w:vAlign w:val="center"/>
          </w:tcPr>
          <w:p w14:paraId="76E4396C">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8</w:t>
            </w:r>
          </w:p>
        </w:tc>
        <w:tc>
          <w:tcPr>
            <w:tcW w:w="765" w:type="dxa"/>
            <w:tcBorders>
              <w:top w:val="single" w:color="auto" w:sz="4" w:space="0"/>
              <w:left w:val="nil"/>
              <w:bottom w:val="single" w:color="auto" w:sz="4" w:space="0"/>
              <w:right w:val="single" w:color="auto" w:sz="4" w:space="0"/>
            </w:tcBorders>
            <w:vAlign w:val="center"/>
          </w:tcPr>
          <w:p w14:paraId="54C02D68">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10</w:t>
            </w:r>
          </w:p>
        </w:tc>
        <w:tc>
          <w:tcPr>
            <w:tcW w:w="1781" w:type="dxa"/>
            <w:gridSpan w:val="2"/>
            <w:tcBorders>
              <w:top w:val="single" w:color="auto" w:sz="4" w:space="0"/>
              <w:left w:val="nil"/>
              <w:bottom w:val="single" w:color="auto" w:sz="4" w:space="0"/>
              <w:right w:val="single" w:color="auto" w:sz="4" w:space="0"/>
            </w:tcBorders>
            <w:vAlign w:val="center"/>
          </w:tcPr>
          <w:p w14:paraId="0D9427FC">
            <w:pPr>
              <w:rPr>
                <w:rFonts w:ascii="Times New Roman" w:hAnsi="Times New Roman" w:eastAsia="方正仿宋_GBK" w:cs="Times New Roman"/>
                <w:color w:val="000000"/>
                <w:sz w:val="18"/>
                <w:szCs w:val="18"/>
              </w:rPr>
            </w:pPr>
          </w:p>
        </w:tc>
      </w:tr>
      <w:tr w14:paraId="2DE56A04">
        <w:tblPrEx>
          <w:tblCellMar>
            <w:top w:w="0" w:type="dxa"/>
            <w:left w:w="108" w:type="dxa"/>
            <w:bottom w:w="0" w:type="dxa"/>
            <w:right w:w="108" w:type="dxa"/>
          </w:tblCellMar>
        </w:tblPrEx>
        <w:trPr>
          <w:trHeight w:val="648" w:hRule="atLeast"/>
          <w:jc w:val="center"/>
        </w:trPr>
        <w:tc>
          <w:tcPr>
            <w:tcW w:w="9540" w:type="dxa"/>
            <w:vMerge w:val="continue"/>
            <w:tcBorders>
              <w:top w:val="nil"/>
              <w:left w:val="single" w:color="auto" w:sz="4" w:space="0"/>
              <w:bottom w:val="single" w:color="auto" w:sz="4" w:space="0"/>
              <w:right w:val="single" w:color="auto" w:sz="4" w:space="0"/>
            </w:tcBorders>
            <w:vAlign w:val="center"/>
          </w:tcPr>
          <w:p w14:paraId="5D5B9059">
            <w:pPr>
              <w:rPr>
                <w:rFonts w:ascii="方正仿宋_GBK" w:eastAsia="方正仿宋_GBK"/>
                <w:color w:val="000000"/>
                <w:sz w:val="18"/>
                <w:szCs w:val="18"/>
              </w:rPr>
            </w:pPr>
          </w:p>
        </w:tc>
        <w:tc>
          <w:tcPr>
            <w:tcW w:w="1365" w:type="dxa"/>
            <w:tcBorders>
              <w:top w:val="single" w:color="auto" w:sz="4" w:space="0"/>
              <w:left w:val="nil"/>
              <w:bottom w:val="single" w:color="auto" w:sz="4" w:space="0"/>
              <w:right w:val="single" w:color="auto" w:sz="4" w:space="0"/>
            </w:tcBorders>
            <w:vAlign w:val="center"/>
          </w:tcPr>
          <w:p w14:paraId="2F4D5F0A">
            <w:pPr>
              <w:ind w:firstLine="180" w:firstLineChars="100"/>
              <w:textAlignment w:val="center"/>
              <w:rPr>
                <w:rFonts w:ascii="Times New Roman" w:hAnsi="Times New Roman" w:eastAsia="方正仿宋_GBK" w:cs="Times New Roman"/>
                <w:color w:val="000000"/>
                <w:sz w:val="18"/>
                <w:szCs w:val="18"/>
              </w:rPr>
            </w:pPr>
            <w:r>
              <w:rPr>
                <w:rFonts w:hint="eastAsia" w:ascii="方正仿宋_GBK" w:eastAsia="方正仿宋_GBK"/>
                <w:color w:val="000000"/>
                <w:sz w:val="18"/>
                <w:szCs w:val="18"/>
              </w:rPr>
              <w:t>年度任务计划或月度工作计划完成适效性</w:t>
            </w:r>
          </w:p>
        </w:tc>
        <w:tc>
          <w:tcPr>
            <w:tcW w:w="1230" w:type="dxa"/>
            <w:tcBorders>
              <w:top w:val="single" w:color="auto" w:sz="4" w:space="0"/>
              <w:left w:val="nil"/>
              <w:bottom w:val="single" w:color="auto" w:sz="4" w:space="0"/>
              <w:right w:val="single" w:color="auto" w:sz="4" w:space="0"/>
            </w:tcBorders>
            <w:vAlign w:val="center"/>
          </w:tcPr>
          <w:p w14:paraId="70085EB9">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w:t>
            </w:r>
          </w:p>
        </w:tc>
        <w:tc>
          <w:tcPr>
            <w:tcW w:w="870" w:type="dxa"/>
            <w:tcBorders>
              <w:top w:val="single" w:color="auto" w:sz="4" w:space="0"/>
              <w:left w:val="nil"/>
              <w:bottom w:val="single" w:color="auto" w:sz="4" w:space="0"/>
              <w:right w:val="single" w:color="auto" w:sz="4" w:space="0"/>
            </w:tcBorders>
            <w:vAlign w:val="center"/>
          </w:tcPr>
          <w:p w14:paraId="7635B519">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w:t>
            </w:r>
          </w:p>
        </w:tc>
        <w:tc>
          <w:tcPr>
            <w:tcW w:w="1005" w:type="dxa"/>
            <w:tcBorders>
              <w:top w:val="single" w:color="auto" w:sz="4" w:space="0"/>
              <w:left w:val="nil"/>
              <w:bottom w:val="single" w:color="auto" w:sz="4" w:space="0"/>
              <w:right w:val="single" w:color="auto" w:sz="4" w:space="0"/>
            </w:tcBorders>
            <w:vAlign w:val="center"/>
          </w:tcPr>
          <w:p w14:paraId="1CF70676">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90</w:t>
            </w:r>
          </w:p>
        </w:tc>
        <w:tc>
          <w:tcPr>
            <w:tcW w:w="990" w:type="dxa"/>
            <w:tcBorders>
              <w:top w:val="single" w:color="auto" w:sz="4" w:space="0"/>
              <w:left w:val="nil"/>
              <w:bottom w:val="single" w:color="auto" w:sz="4" w:space="0"/>
              <w:right w:val="single" w:color="auto" w:sz="4" w:space="0"/>
            </w:tcBorders>
            <w:vAlign w:val="center"/>
          </w:tcPr>
          <w:p w14:paraId="7A7F67D2">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10</w:t>
            </w:r>
          </w:p>
        </w:tc>
        <w:tc>
          <w:tcPr>
            <w:tcW w:w="795" w:type="dxa"/>
            <w:tcBorders>
              <w:top w:val="single" w:color="auto" w:sz="4" w:space="0"/>
              <w:left w:val="nil"/>
              <w:bottom w:val="single" w:color="auto" w:sz="4" w:space="0"/>
              <w:right w:val="single" w:color="auto" w:sz="4" w:space="0"/>
            </w:tcBorders>
            <w:vAlign w:val="center"/>
          </w:tcPr>
          <w:p w14:paraId="0017BB3A">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90</w:t>
            </w:r>
          </w:p>
        </w:tc>
        <w:tc>
          <w:tcPr>
            <w:tcW w:w="765" w:type="dxa"/>
            <w:tcBorders>
              <w:top w:val="single" w:color="auto" w:sz="4" w:space="0"/>
              <w:left w:val="nil"/>
              <w:bottom w:val="single" w:color="auto" w:sz="4" w:space="0"/>
              <w:right w:val="single" w:color="auto" w:sz="4" w:space="0"/>
            </w:tcBorders>
            <w:vAlign w:val="center"/>
          </w:tcPr>
          <w:p w14:paraId="6DEB3D35">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10</w:t>
            </w:r>
          </w:p>
        </w:tc>
        <w:tc>
          <w:tcPr>
            <w:tcW w:w="1781" w:type="dxa"/>
            <w:gridSpan w:val="2"/>
            <w:tcBorders>
              <w:top w:val="single" w:color="auto" w:sz="4" w:space="0"/>
              <w:left w:val="nil"/>
              <w:bottom w:val="single" w:color="auto" w:sz="4" w:space="0"/>
              <w:right w:val="single" w:color="auto" w:sz="4" w:space="0"/>
            </w:tcBorders>
            <w:vAlign w:val="center"/>
          </w:tcPr>
          <w:p w14:paraId="4B55A678">
            <w:pPr>
              <w:rPr>
                <w:rFonts w:ascii="Times New Roman" w:hAnsi="Times New Roman" w:eastAsia="方正仿宋_GBK" w:cs="Times New Roman"/>
                <w:color w:val="000000"/>
                <w:sz w:val="18"/>
                <w:szCs w:val="18"/>
              </w:rPr>
            </w:pPr>
          </w:p>
        </w:tc>
      </w:tr>
      <w:tr w14:paraId="68F67A32">
        <w:tblPrEx>
          <w:tblCellMar>
            <w:top w:w="0" w:type="dxa"/>
            <w:left w:w="108" w:type="dxa"/>
            <w:bottom w:w="0" w:type="dxa"/>
            <w:right w:w="108" w:type="dxa"/>
          </w:tblCellMar>
        </w:tblPrEx>
        <w:trPr>
          <w:trHeight w:val="648" w:hRule="atLeast"/>
          <w:jc w:val="center"/>
        </w:trPr>
        <w:tc>
          <w:tcPr>
            <w:tcW w:w="9540" w:type="dxa"/>
            <w:vMerge w:val="continue"/>
            <w:tcBorders>
              <w:top w:val="nil"/>
              <w:left w:val="single" w:color="auto" w:sz="4" w:space="0"/>
              <w:bottom w:val="single" w:color="auto" w:sz="4" w:space="0"/>
              <w:right w:val="single" w:color="auto" w:sz="4" w:space="0"/>
            </w:tcBorders>
            <w:vAlign w:val="center"/>
          </w:tcPr>
          <w:p w14:paraId="4AD5769A">
            <w:pPr>
              <w:rPr>
                <w:rFonts w:ascii="方正仿宋_GBK" w:eastAsia="方正仿宋_GBK"/>
                <w:color w:val="000000"/>
                <w:sz w:val="18"/>
                <w:szCs w:val="18"/>
              </w:rPr>
            </w:pPr>
          </w:p>
        </w:tc>
        <w:tc>
          <w:tcPr>
            <w:tcW w:w="1365" w:type="dxa"/>
            <w:tcBorders>
              <w:top w:val="single" w:color="auto" w:sz="4" w:space="0"/>
              <w:left w:val="nil"/>
              <w:bottom w:val="single" w:color="auto" w:sz="4" w:space="0"/>
              <w:right w:val="single" w:color="auto" w:sz="4" w:space="0"/>
            </w:tcBorders>
            <w:vAlign w:val="center"/>
          </w:tcPr>
          <w:p w14:paraId="603D72B0">
            <w:pPr>
              <w:ind w:firstLine="180" w:firstLineChars="100"/>
              <w:textAlignment w:val="center"/>
              <w:rPr>
                <w:rFonts w:ascii="Times New Roman" w:hAnsi="Times New Roman" w:eastAsia="方正仿宋_GBK" w:cs="Times New Roman"/>
                <w:color w:val="000000"/>
                <w:sz w:val="18"/>
                <w:szCs w:val="18"/>
              </w:rPr>
            </w:pPr>
            <w:r>
              <w:rPr>
                <w:rFonts w:hint="eastAsia" w:ascii="方正仿宋_GBK" w:eastAsia="方正仿宋_GBK"/>
                <w:color w:val="000000"/>
                <w:sz w:val="18"/>
                <w:szCs w:val="18"/>
              </w:rPr>
              <w:t>三公经费变动率</w:t>
            </w:r>
          </w:p>
        </w:tc>
        <w:tc>
          <w:tcPr>
            <w:tcW w:w="1230" w:type="dxa"/>
            <w:tcBorders>
              <w:top w:val="single" w:color="auto" w:sz="4" w:space="0"/>
              <w:left w:val="nil"/>
              <w:bottom w:val="single" w:color="auto" w:sz="4" w:space="0"/>
              <w:right w:val="single" w:color="auto" w:sz="4" w:space="0"/>
            </w:tcBorders>
            <w:vAlign w:val="center"/>
          </w:tcPr>
          <w:p w14:paraId="6C54C2DF">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w:t>
            </w:r>
          </w:p>
        </w:tc>
        <w:tc>
          <w:tcPr>
            <w:tcW w:w="870" w:type="dxa"/>
            <w:tcBorders>
              <w:top w:val="single" w:color="auto" w:sz="4" w:space="0"/>
              <w:left w:val="nil"/>
              <w:bottom w:val="single" w:color="auto" w:sz="4" w:space="0"/>
              <w:right w:val="single" w:color="auto" w:sz="4" w:space="0"/>
            </w:tcBorders>
            <w:vAlign w:val="center"/>
          </w:tcPr>
          <w:p w14:paraId="7C6C30A4">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w:t>
            </w:r>
          </w:p>
        </w:tc>
        <w:tc>
          <w:tcPr>
            <w:tcW w:w="1005" w:type="dxa"/>
            <w:tcBorders>
              <w:top w:val="single" w:color="auto" w:sz="4" w:space="0"/>
              <w:left w:val="nil"/>
              <w:bottom w:val="single" w:color="auto" w:sz="4" w:space="0"/>
              <w:right w:val="single" w:color="auto" w:sz="4" w:space="0"/>
            </w:tcBorders>
            <w:vAlign w:val="center"/>
          </w:tcPr>
          <w:p w14:paraId="7C6872BA">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0</w:t>
            </w:r>
          </w:p>
        </w:tc>
        <w:tc>
          <w:tcPr>
            <w:tcW w:w="990" w:type="dxa"/>
            <w:tcBorders>
              <w:top w:val="single" w:color="auto" w:sz="4" w:space="0"/>
              <w:left w:val="nil"/>
              <w:bottom w:val="single" w:color="auto" w:sz="4" w:space="0"/>
              <w:right w:val="single" w:color="auto" w:sz="4" w:space="0"/>
            </w:tcBorders>
            <w:vAlign w:val="center"/>
          </w:tcPr>
          <w:p w14:paraId="7D22FDF8">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10</w:t>
            </w:r>
          </w:p>
        </w:tc>
        <w:tc>
          <w:tcPr>
            <w:tcW w:w="795" w:type="dxa"/>
            <w:tcBorders>
              <w:top w:val="single" w:color="auto" w:sz="4" w:space="0"/>
              <w:left w:val="nil"/>
              <w:bottom w:val="single" w:color="auto" w:sz="4" w:space="0"/>
              <w:right w:val="single" w:color="auto" w:sz="4" w:space="0"/>
            </w:tcBorders>
            <w:vAlign w:val="center"/>
          </w:tcPr>
          <w:p w14:paraId="547F86B3">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0</w:t>
            </w:r>
          </w:p>
        </w:tc>
        <w:tc>
          <w:tcPr>
            <w:tcW w:w="765" w:type="dxa"/>
            <w:tcBorders>
              <w:top w:val="single" w:color="auto" w:sz="4" w:space="0"/>
              <w:left w:val="nil"/>
              <w:bottom w:val="single" w:color="auto" w:sz="4" w:space="0"/>
              <w:right w:val="single" w:color="auto" w:sz="4" w:space="0"/>
            </w:tcBorders>
            <w:vAlign w:val="center"/>
          </w:tcPr>
          <w:p w14:paraId="762D202B">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10</w:t>
            </w:r>
          </w:p>
        </w:tc>
        <w:tc>
          <w:tcPr>
            <w:tcW w:w="1781" w:type="dxa"/>
            <w:gridSpan w:val="2"/>
            <w:tcBorders>
              <w:top w:val="single" w:color="auto" w:sz="4" w:space="0"/>
              <w:left w:val="nil"/>
              <w:bottom w:val="single" w:color="auto" w:sz="4" w:space="0"/>
              <w:right w:val="single" w:color="auto" w:sz="4" w:space="0"/>
            </w:tcBorders>
            <w:vAlign w:val="center"/>
          </w:tcPr>
          <w:p w14:paraId="2C8447E4">
            <w:pPr>
              <w:rPr>
                <w:rFonts w:ascii="Times New Roman" w:hAnsi="Times New Roman" w:eastAsia="方正仿宋_GBK" w:cs="Times New Roman"/>
                <w:color w:val="000000"/>
                <w:sz w:val="18"/>
                <w:szCs w:val="18"/>
              </w:rPr>
            </w:pPr>
          </w:p>
        </w:tc>
      </w:tr>
      <w:tr w14:paraId="174F116F">
        <w:tblPrEx>
          <w:tblCellMar>
            <w:top w:w="0" w:type="dxa"/>
            <w:left w:w="108" w:type="dxa"/>
            <w:bottom w:w="0" w:type="dxa"/>
            <w:right w:w="108" w:type="dxa"/>
          </w:tblCellMar>
        </w:tblPrEx>
        <w:trPr>
          <w:trHeight w:val="648" w:hRule="atLeast"/>
          <w:jc w:val="center"/>
        </w:trPr>
        <w:tc>
          <w:tcPr>
            <w:tcW w:w="9540" w:type="dxa"/>
            <w:vMerge w:val="continue"/>
            <w:tcBorders>
              <w:top w:val="nil"/>
              <w:left w:val="single" w:color="auto" w:sz="4" w:space="0"/>
              <w:bottom w:val="single" w:color="auto" w:sz="4" w:space="0"/>
              <w:right w:val="single" w:color="auto" w:sz="4" w:space="0"/>
            </w:tcBorders>
            <w:vAlign w:val="center"/>
          </w:tcPr>
          <w:p w14:paraId="2D9F101B">
            <w:pPr>
              <w:rPr>
                <w:rFonts w:ascii="方正仿宋_GBK" w:eastAsia="方正仿宋_GBK"/>
                <w:color w:val="000000"/>
                <w:sz w:val="18"/>
                <w:szCs w:val="18"/>
              </w:rPr>
            </w:pPr>
          </w:p>
        </w:tc>
        <w:tc>
          <w:tcPr>
            <w:tcW w:w="1365" w:type="dxa"/>
            <w:tcBorders>
              <w:top w:val="single" w:color="auto" w:sz="4" w:space="0"/>
              <w:left w:val="nil"/>
              <w:bottom w:val="single" w:color="auto" w:sz="4" w:space="0"/>
              <w:right w:val="single" w:color="auto" w:sz="4" w:space="0"/>
            </w:tcBorders>
            <w:vAlign w:val="center"/>
          </w:tcPr>
          <w:p w14:paraId="57C033A5">
            <w:pPr>
              <w:ind w:firstLine="180" w:firstLineChars="100"/>
              <w:textAlignment w:val="center"/>
              <w:rPr>
                <w:rFonts w:ascii="Times New Roman" w:hAnsi="Times New Roman" w:eastAsia="方正仿宋_GBK" w:cs="Times New Roman"/>
                <w:color w:val="000000"/>
                <w:sz w:val="18"/>
                <w:szCs w:val="18"/>
              </w:rPr>
            </w:pPr>
            <w:r>
              <w:rPr>
                <w:rFonts w:hint="eastAsia" w:ascii="方正仿宋_GBK" w:eastAsia="方正仿宋_GBK"/>
                <w:color w:val="000000"/>
                <w:sz w:val="18"/>
                <w:szCs w:val="18"/>
              </w:rPr>
              <w:t>往来账款变动率</w:t>
            </w:r>
          </w:p>
        </w:tc>
        <w:tc>
          <w:tcPr>
            <w:tcW w:w="1230" w:type="dxa"/>
            <w:tcBorders>
              <w:top w:val="single" w:color="auto" w:sz="4" w:space="0"/>
              <w:left w:val="nil"/>
              <w:bottom w:val="single" w:color="auto" w:sz="4" w:space="0"/>
              <w:right w:val="single" w:color="auto" w:sz="4" w:space="0"/>
            </w:tcBorders>
            <w:vAlign w:val="center"/>
          </w:tcPr>
          <w:p w14:paraId="6113ACAA">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w:t>
            </w:r>
          </w:p>
        </w:tc>
        <w:tc>
          <w:tcPr>
            <w:tcW w:w="870" w:type="dxa"/>
            <w:tcBorders>
              <w:top w:val="single" w:color="auto" w:sz="4" w:space="0"/>
              <w:left w:val="nil"/>
              <w:bottom w:val="single" w:color="auto" w:sz="4" w:space="0"/>
              <w:right w:val="single" w:color="auto" w:sz="4" w:space="0"/>
            </w:tcBorders>
            <w:vAlign w:val="center"/>
          </w:tcPr>
          <w:p w14:paraId="06B77739">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w:t>
            </w:r>
          </w:p>
        </w:tc>
        <w:tc>
          <w:tcPr>
            <w:tcW w:w="1005" w:type="dxa"/>
            <w:tcBorders>
              <w:top w:val="single" w:color="auto" w:sz="4" w:space="0"/>
              <w:left w:val="nil"/>
              <w:bottom w:val="single" w:color="auto" w:sz="4" w:space="0"/>
              <w:right w:val="single" w:color="auto" w:sz="4" w:space="0"/>
            </w:tcBorders>
            <w:vAlign w:val="center"/>
          </w:tcPr>
          <w:p w14:paraId="76E33F6F">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0</w:t>
            </w:r>
          </w:p>
        </w:tc>
        <w:tc>
          <w:tcPr>
            <w:tcW w:w="990" w:type="dxa"/>
            <w:tcBorders>
              <w:top w:val="single" w:color="auto" w:sz="4" w:space="0"/>
              <w:left w:val="nil"/>
              <w:bottom w:val="single" w:color="auto" w:sz="4" w:space="0"/>
              <w:right w:val="single" w:color="auto" w:sz="4" w:space="0"/>
            </w:tcBorders>
            <w:vAlign w:val="center"/>
          </w:tcPr>
          <w:p w14:paraId="1E5729AA">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10</w:t>
            </w:r>
          </w:p>
        </w:tc>
        <w:tc>
          <w:tcPr>
            <w:tcW w:w="795" w:type="dxa"/>
            <w:tcBorders>
              <w:top w:val="single" w:color="auto" w:sz="4" w:space="0"/>
              <w:left w:val="nil"/>
              <w:bottom w:val="single" w:color="auto" w:sz="4" w:space="0"/>
              <w:right w:val="single" w:color="auto" w:sz="4" w:space="0"/>
            </w:tcBorders>
            <w:vAlign w:val="center"/>
          </w:tcPr>
          <w:p w14:paraId="105CD572">
            <w:pPr>
              <w:jc w:val="both"/>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-11.67</w:t>
            </w:r>
          </w:p>
        </w:tc>
        <w:tc>
          <w:tcPr>
            <w:tcW w:w="765" w:type="dxa"/>
            <w:tcBorders>
              <w:top w:val="single" w:color="auto" w:sz="4" w:space="0"/>
              <w:left w:val="nil"/>
              <w:bottom w:val="single" w:color="auto" w:sz="4" w:space="0"/>
              <w:right w:val="single" w:color="auto" w:sz="4" w:space="0"/>
            </w:tcBorders>
            <w:vAlign w:val="center"/>
          </w:tcPr>
          <w:p w14:paraId="751582FD">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10</w:t>
            </w:r>
          </w:p>
        </w:tc>
        <w:tc>
          <w:tcPr>
            <w:tcW w:w="1781" w:type="dxa"/>
            <w:gridSpan w:val="2"/>
            <w:tcBorders>
              <w:top w:val="single" w:color="auto" w:sz="4" w:space="0"/>
              <w:left w:val="nil"/>
              <w:bottom w:val="single" w:color="auto" w:sz="4" w:space="0"/>
              <w:right w:val="single" w:color="auto" w:sz="4" w:space="0"/>
            </w:tcBorders>
            <w:vAlign w:val="center"/>
          </w:tcPr>
          <w:p w14:paraId="4092892A">
            <w:pPr>
              <w:rPr>
                <w:rFonts w:ascii="Times New Roman" w:hAnsi="Times New Roman" w:eastAsia="方正仿宋_GBK" w:cs="Times New Roman"/>
                <w:color w:val="000000"/>
                <w:sz w:val="18"/>
                <w:szCs w:val="18"/>
              </w:rPr>
            </w:pPr>
          </w:p>
        </w:tc>
      </w:tr>
      <w:tr w14:paraId="6299E9C5">
        <w:tblPrEx>
          <w:tblCellMar>
            <w:top w:w="0" w:type="dxa"/>
            <w:left w:w="108" w:type="dxa"/>
            <w:bottom w:w="0" w:type="dxa"/>
            <w:right w:w="108" w:type="dxa"/>
          </w:tblCellMar>
        </w:tblPrEx>
        <w:trPr>
          <w:trHeight w:val="648" w:hRule="atLeast"/>
          <w:jc w:val="center"/>
        </w:trPr>
        <w:tc>
          <w:tcPr>
            <w:tcW w:w="9540" w:type="dxa"/>
            <w:vMerge w:val="continue"/>
            <w:tcBorders>
              <w:top w:val="nil"/>
              <w:left w:val="single" w:color="auto" w:sz="4" w:space="0"/>
              <w:bottom w:val="single" w:color="auto" w:sz="4" w:space="0"/>
              <w:right w:val="single" w:color="auto" w:sz="4" w:space="0"/>
            </w:tcBorders>
            <w:vAlign w:val="center"/>
          </w:tcPr>
          <w:p w14:paraId="0E2DCD0A">
            <w:pPr>
              <w:rPr>
                <w:rFonts w:ascii="方正仿宋_GBK" w:eastAsia="方正仿宋_GBK"/>
                <w:color w:val="000000"/>
                <w:sz w:val="18"/>
                <w:szCs w:val="18"/>
              </w:rPr>
            </w:pPr>
          </w:p>
        </w:tc>
        <w:tc>
          <w:tcPr>
            <w:tcW w:w="1365" w:type="dxa"/>
            <w:tcBorders>
              <w:top w:val="single" w:color="auto" w:sz="4" w:space="0"/>
              <w:left w:val="nil"/>
              <w:bottom w:val="single" w:color="auto" w:sz="4" w:space="0"/>
              <w:right w:val="single" w:color="auto" w:sz="4" w:space="0"/>
            </w:tcBorders>
            <w:vAlign w:val="center"/>
          </w:tcPr>
          <w:p w14:paraId="10EA8AAA">
            <w:pPr>
              <w:ind w:firstLine="180" w:firstLineChars="100"/>
              <w:textAlignment w:val="center"/>
              <w:rPr>
                <w:rFonts w:ascii="Times New Roman" w:hAnsi="Times New Roman" w:eastAsia="方正仿宋_GBK" w:cs="Times New Roman"/>
                <w:color w:val="000000"/>
                <w:sz w:val="18"/>
                <w:szCs w:val="18"/>
              </w:rPr>
            </w:pPr>
            <w:r>
              <w:rPr>
                <w:rFonts w:hint="eastAsia" w:ascii="方正仿宋_GBK" w:eastAsia="方正仿宋_GBK"/>
                <w:color w:val="000000"/>
                <w:sz w:val="18"/>
                <w:szCs w:val="18"/>
              </w:rPr>
              <w:t>一般性支出压减率</w:t>
            </w:r>
          </w:p>
        </w:tc>
        <w:tc>
          <w:tcPr>
            <w:tcW w:w="1230" w:type="dxa"/>
            <w:tcBorders>
              <w:top w:val="single" w:color="auto" w:sz="4" w:space="0"/>
              <w:left w:val="nil"/>
              <w:bottom w:val="single" w:color="auto" w:sz="4" w:space="0"/>
              <w:right w:val="single" w:color="auto" w:sz="4" w:space="0"/>
            </w:tcBorders>
            <w:vAlign w:val="center"/>
          </w:tcPr>
          <w:p w14:paraId="5E9A566B">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w:t>
            </w:r>
          </w:p>
        </w:tc>
        <w:tc>
          <w:tcPr>
            <w:tcW w:w="870" w:type="dxa"/>
            <w:tcBorders>
              <w:top w:val="single" w:color="auto" w:sz="4" w:space="0"/>
              <w:left w:val="nil"/>
              <w:bottom w:val="single" w:color="auto" w:sz="4" w:space="0"/>
              <w:right w:val="single" w:color="auto" w:sz="4" w:space="0"/>
            </w:tcBorders>
            <w:vAlign w:val="center"/>
          </w:tcPr>
          <w:p w14:paraId="21957D03">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w:t>
            </w:r>
          </w:p>
        </w:tc>
        <w:tc>
          <w:tcPr>
            <w:tcW w:w="1005" w:type="dxa"/>
            <w:tcBorders>
              <w:top w:val="single" w:color="auto" w:sz="4" w:space="0"/>
              <w:left w:val="nil"/>
              <w:bottom w:val="single" w:color="auto" w:sz="4" w:space="0"/>
              <w:right w:val="single" w:color="auto" w:sz="4" w:space="0"/>
            </w:tcBorders>
            <w:vAlign w:val="center"/>
          </w:tcPr>
          <w:p w14:paraId="543F8148">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0</w:t>
            </w:r>
          </w:p>
        </w:tc>
        <w:tc>
          <w:tcPr>
            <w:tcW w:w="990" w:type="dxa"/>
            <w:tcBorders>
              <w:top w:val="single" w:color="auto" w:sz="4" w:space="0"/>
              <w:left w:val="nil"/>
              <w:bottom w:val="single" w:color="auto" w:sz="4" w:space="0"/>
              <w:right w:val="single" w:color="auto" w:sz="4" w:space="0"/>
            </w:tcBorders>
            <w:vAlign w:val="center"/>
          </w:tcPr>
          <w:p w14:paraId="0CCA6EED">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10</w:t>
            </w:r>
          </w:p>
        </w:tc>
        <w:tc>
          <w:tcPr>
            <w:tcW w:w="795" w:type="dxa"/>
            <w:tcBorders>
              <w:top w:val="single" w:color="auto" w:sz="4" w:space="0"/>
              <w:left w:val="nil"/>
              <w:bottom w:val="single" w:color="auto" w:sz="4" w:space="0"/>
              <w:right w:val="single" w:color="auto" w:sz="4" w:space="0"/>
            </w:tcBorders>
            <w:vAlign w:val="center"/>
          </w:tcPr>
          <w:p w14:paraId="674FA838">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0</w:t>
            </w:r>
          </w:p>
        </w:tc>
        <w:tc>
          <w:tcPr>
            <w:tcW w:w="765" w:type="dxa"/>
            <w:tcBorders>
              <w:top w:val="single" w:color="auto" w:sz="4" w:space="0"/>
              <w:left w:val="nil"/>
              <w:bottom w:val="single" w:color="auto" w:sz="4" w:space="0"/>
              <w:right w:val="single" w:color="auto" w:sz="4" w:space="0"/>
            </w:tcBorders>
            <w:vAlign w:val="center"/>
          </w:tcPr>
          <w:p w14:paraId="01D176A1">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10</w:t>
            </w:r>
          </w:p>
        </w:tc>
        <w:tc>
          <w:tcPr>
            <w:tcW w:w="1781" w:type="dxa"/>
            <w:gridSpan w:val="2"/>
            <w:tcBorders>
              <w:top w:val="single" w:color="auto" w:sz="4" w:space="0"/>
              <w:left w:val="nil"/>
              <w:bottom w:val="single" w:color="auto" w:sz="4" w:space="0"/>
              <w:right w:val="single" w:color="auto" w:sz="4" w:space="0"/>
            </w:tcBorders>
            <w:vAlign w:val="center"/>
          </w:tcPr>
          <w:p w14:paraId="10CA230C">
            <w:pPr>
              <w:rPr>
                <w:rFonts w:ascii="Times New Roman" w:hAnsi="Times New Roman" w:eastAsia="方正仿宋_GBK" w:cs="Times New Roman"/>
                <w:color w:val="000000"/>
                <w:sz w:val="18"/>
                <w:szCs w:val="18"/>
              </w:rPr>
            </w:pPr>
          </w:p>
        </w:tc>
      </w:tr>
      <w:tr w14:paraId="54CFE0B0">
        <w:tblPrEx>
          <w:tblCellMar>
            <w:top w:w="0" w:type="dxa"/>
            <w:left w:w="108" w:type="dxa"/>
            <w:bottom w:w="0" w:type="dxa"/>
            <w:right w:w="108" w:type="dxa"/>
          </w:tblCellMar>
        </w:tblPrEx>
        <w:trPr>
          <w:trHeight w:val="648" w:hRule="atLeast"/>
          <w:jc w:val="center"/>
        </w:trPr>
        <w:tc>
          <w:tcPr>
            <w:tcW w:w="9540" w:type="dxa"/>
            <w:vMerge w:val="continue"/>
            <w:tcBorders>
              <w:top w:val="nil"/>
              <w:left w:val="single" w:color="auto" w:sz="4" w:space="0"/>
              <w:bottom w:val="single" w:color="auto" w:sz="4" w:space="0"/>
              <w:right w:val="single" w:color="auto" w:sz="4" w:space="0"/>
            </w:tcBorders>
            <w:vAlign w:val="center"/>
          </w:tcPr>
          <w:p w14:paraId="4033FB36">
            <w:pPr>
              <w:rPr>
                <w:rFonts w:ascii="方正仿宋_GBK" w:eastAsia="方正仿宋_GBK"/>
                <w:color w:val="000000"/>
                <w:sz w:val="18"/>
                <w:szCs w:val="18"/>
              </w:rPr>
            </w:pPr>
          </w:p>
        </w:tc>
        <w:tc>
          <w:tcPr>
            <w:tcW w:w="1365" w:type="dxa"/>
            <w:tcBorders>
              <w:top w:val="single" w:color="auto" w:sz="4" w:space="0"/>
              <w:left w:val="nil"/>
              <w:bottom w:val="single" w:color="auto" w:sz="4" w:space="0"/>
              <w:right w:val="single" w:color="auto" w:sz="4" w:space="0"/>
            </w:tcBorders>
            <w:vAlign w:val="center"/>
          </w:tcPr>
          <w:p w14:paraId="6A6E7CFB">
            <w:pPr>
              <w:ind w:firstLine="180" w:firstLineChars="100"/>
              <w:textAlignment w:val="center"/>
              <w:rPr>
                <w:rFonts w:ascii="Times New Roman" w:hAnsi="Times New Roman" w:eastAsia="方正仿宋_GBK" w:cs="Times New Roman"/>
                <w:color w:val="000000"/>
                <w:sz w:val="18"/>
                <w:szCs w:val="18"/>
              </w:rPr>
            </w:pPr>
            <w:r>
              <w:rPr>
                <w:rFonts w:hint="eastAsia" w:ascii="方正仿宋_GBK" w:eastAsia="方正仿宋_GBK"/>
                <w:color w:val="000000"/>
                <w:sz w:val="18"/>
                <w:szCs w:val="18"/>
              </w:rPr>
              <w:t>预算执行序时进度</w:t>
            </w:r>
          </w:p>
        </w:tc>
        <w:tc>
          <w:tcPr>
            <w:tcW w:w="1230" w:type="dxa"/>
            <w:tcBorders>
              <w:top w:val="single" w:color="auto" w:sz="4" w:space="0"/>
              <w:left w:val="nil"/>
              <w:bottom w:val="single" w:color="auto" w:sz="4" w:space="0"/>
              <w:right w:val="single" w:color="auto" w:sz="4" w:space="0"/>
            </w:tcBorders>
            <w:vAlign w:val="center"/>
          </w:tcPr>
          <w:p w14:paraId="40211A52">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w:t>
            </w:r>
          </w:p>
        </w:tc>
        <w:tc>
          <w:tcPr>
            <w:tcW w:w="870" w:type="dxa"/>
            <w:tcBorders>
              <w:top w:val="single" w:color="auto" w:sz="4" w:space="0"/>
              <w:left w:val="nil"/>
              <w:bottom w:val="single" w:color="auto" w:sz="4" w:space="0"/>
              <w:right w:val="single" w:color="auto" w:sz="4" w:space="0"/>
            </w:tcBorders>
            <w:vAlign w:val="center"/>
          </w:tcPr>
          <w:p w14:paraId="6C7C4302">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w:t>
            </w:r>
          </w:p>
        </w:tc>
        <w:tc>
          <w:tcPr>
            <w:tcW w:w="1005" w:type="dxa"/>
            <w:tcBorders>
              <w:top w:val="single" w:color="auto" w:sz="4" w:space="0"/>
              <w:left w:val="nil"/>
              <w:bottom w:val="single" w:color="auto" w:sz="4" w:space="0"/>
              <w:right w:val="single" w:color="auto" w:sz="4" w:space="0"/>
            </w:tcBorders>
            <w:vAlign w:val="center"/>
          </w:tcPr>
          <w:p w14:paraId="34BD5595">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100</w:t>
            </w:r>
          </w:p>
        </w:tc>
        <w:tc>
          <w:tcPr>
            <w:tcW w:w="990" w:type="dxa"/>
            <w:tcBorders>
              <w:top w:val="single" w:color="auto" w:sz="4" w:space="0"/>
              <w:left w:val="nil"/>
              <w:bottom w:val="single" w:color="auto" w:sz="4" w:space="0"/>
              <w:right w:val="single" w:color="auto" w:sz="4" w:space="0"/>
            </w:tcBorders>
            <w:vAlign w:val="center"/>
          </w:tcPr>
          <w:p w14:paraId="2886782E">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10</w:t>
            </w:r>
          </w:p>
        </w:tc>
        <w:tc>
          <w:tcPr>
            <w:tcW w:w="795" w:type="dxa"/>
            <w:tcBorders>
              <w:top w:val="single" w:color="auto" w:sz="4" w:space="0"/>
              <w:left w:val="nil"/>
              <w:bottom w:val="single" w:color="auto" w:sz="4" w:space="0"/>
              <w:right w:val="single" w:color="auto" w:sz="4" w:space="0"/>
            </w:tcBorders>
            <w:vAlign w:val="center"/>
          </w:tcPr>
          <w:p w14:paraId="22C80C67">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92</w:t>
            </w:r>
          </w:p>
        </w:tc>
        <w:tc>
          <w:tcPr>
            <w:tcW w:w="765" w:type="dxa"/>
            <w:tcBorders>
              <w:top w:val="single" w:color="auto" w:sz="4" w:space="0"/>
              <w:left w:val="nil"/>
              <w:bottom w:val="single" w:color="auto" w:sz="4" w:space="0"/>
              <w:right w:val="single" w:color="auto" w:sz="4" w:space="0"/>
            </w:tcBorders>
            <w:vAlign w:val="center"/>
          </w:tcPr>
          <w:p w14:paraId="277366EA">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9.2</w:t>
            </w:r>
          </w:p>
        </w:tc>
        <w:tc>
          <w:tcPr>
            <w:tcW w:w="1781" w:type="dxa"/>
            <w:gridSpan w:val="2"/>
            <w:tcBorders>
              <w:top w:val="single" w:color="auto" w:sz="4" w:space="0"/>
              <w:left w:val="nil"/>
              <w:bottom w:val="single" w:color="auto" w:sz="4" w:space="0"/>
              <w:right w:val="single" w:color="auto" w:sz="4" w:space="0"/>
            </w:tcBorders>
            <w:vAlign w:val="center"/>
          </w:tcPr>
          <w:p w14:paraId="56F25F6E">
            <w:pPr>
              <w:rPr>
                <w:rFonts w:ascii="Times New Roman" w:hAnsi="Times New Roman" w:eastAsia="方正仿宋_GBK" w:cs="Times New Roman"/>
                <w:color w:val="000000"/>
                <w:sz w:val="18"/>
                <w:szCs w:val="18"/>
              </w:rPr>
            </w:pPr>
          </w:p>
        </w:tc>
      </w:tr>
      <w:tr w14:paraId="6F4275E4">
        <w:tblPrEx>
          <w:tblCellMar>
            <w:top w:w="0" w:type="dxa"/>
            <w:left w:w="108" w:type="dxa"/>
            <w:bottom w:w="0" w:type="dxa"/>
            <w:right w:w="108" w:type="dxa"/>
          </w:tblCellMar>
        </w:tblPrEx>
        <w:trPr>
          <w:trHeight w:val="648" w:hRule="atLeast"/>
          <w:jc w:val="center"/>
        </w:trPr>
        <w:tc>
          <w:tcPr>
            <w:tcW w:w="9540" w:type="dxa"/>
            <w:vMerge w:val="continue"/>
            <w:tcBorders>
              <w:top w:val="nil"/>
              <w:left w:val="single" w:color="auto" w:sz="4" w:space="0"/>
              <w:bottom w:val="single" w:color="auto" w:sz="4" w:space="0"/>
              <w:right w:val="single" w:color="auto" w:sz="4" w:space="0"/>
            </w:tcBorders>
            <w:vAlign w:val="center"/>
          </w:tcPr>
          <w:p w14:paraId="03E978AA">
            <w:pPr>
              <w:rPr>
                <w:rFonts w:ascii="方正仿宋_GBK" w:eastAsia="方正仿宋_GBK"/>
                <w:color w:val="000000"/>
                <w:sz w:val="18"/>
                <w:szCs w:val="18"/>
              </w:rPr>
            </w:pPr>
          </w:p>
        </w:tc>
        <w:tc>
          <w:tcPr>
            <w:tcW w:w="1365" w:type="dxa"/>
            <w:tcBorders>
              <w:top w:val="single" w:color="auto" w:sz="4" w:space="0"/>
              <w:left w:val="nil"/>
              <w:bottom w:val="single" w:color="auto" w:sz="4" w:space="0"/>
              <w:right w:val="single" w:color="auto" w:sz="4" w:space="0"/>
            </w:tcBorders>
            <w:vAlign w:val="center"/>
          </w:tcPr>
          <w:p w14:paraId="0AE2EB2A">
            <w:pPr>
              <w:ind w:firstLine="180" w:firstLineChars="100"/>
              <w:textAlignment w:val="center"/>
              <w:rPr>
                <w:rFonts w:ascii="Times New Roman" w:hAnsi="Times New Roman" w:eastAsia="方正仿宋_GBK" w:cs="Times New Roman"/>
                <w:color w:val="000000"/>
                <w:sz w:val="18"/>
                <w:szCs w:val="18"/>
              </w:rPr>
            </w:pPr>
            <w:r>
              <w:rPr>
                <w:rFonts w:hint="eastAsia" w:ascii="方正仿宋_GBK" w:eastAsia="方正仿宋_GBK"/>
                <w:color w:val="000000"/>
                <w:sz w:val="18"/>
                <w:szCs w:val="18"/>
              </w:rPr>
              <w:t>社会公众或服务对象满意度</w:t>
            </w:r>
          </w:p>
        </w:tc>
        <w:tc>
          <w:tcPr>
            <w:tcW w:w="1230" w:type="dxa"/>
            <w:tcBorders>
              <w:top w:val="single" w:color="auto" w:sz="4" w:space="0"/>
              <w:left w:val="nil"/>
              <w:bottom w:val="single" w:color="auto" w:sz="4" w:space="0"/>
              <w:right w:val="single" w:color="auto" w:sz="4" w:space="0"/>
            </w:tcBorders>
            <w:vAlign w:val="center"/>
          </w:tcPr>
          <w:p w14:paraId="3B077721">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w:t>
            </w:r>
          </w:p>
        </w:tc>
        <w:tc>
          <w:tcPr>
            <w:tcW w:w="870" w:type="dxa"/>
            <w:tcBorders>
              <w:top w:val="single" w:color="auto" w:sz="4" w:space="0"/>
              <w:left w:val="nil"/>
              <w:bottom w:val="single" w:color="auto" w:sz="4" w:space="0"/>
              <w:right w:val="single" w:color="auto" w:sz="4" w:space="0"/>
            </w:tcBorders>
            <w:vAlign w:val="center"/>
          </w:tcPr>
          <w:p w14:paraId="71316B12">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w:t>
            </w:r>
          </w:p>
        </w:tc>
        <w:tc>
          <w:tcPr>
            <w:tcW w:w="1005" w:type="dxa"/>
            <w:tcBorders>
              <w:top w:val="single" w:color="auto" w:sz="4" w:space="0"/>
              <w:left w:val="nil"/>
              <w:bottom w:val="single" w:color="auto" w:sz="4" w:space="0"/>
              <w:right w:val="single" w:color="auto" w:sz="4" w:space="0"/>
            </w:tcBorders>
            <w:vAlign w:val="center"/>
          </w:tcPr>
          <w:p w14:paraId="77F030E7">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90</w:t>
            </w:r>
          </w:p>
        </w:tc>
        <w:tc>
          <w:tcPr>
            <w:tcW w:w="990" w:type="dxa"/>
            <w:tcBorders>
              <w:top w:val="single" w:color="auto" w:sz="4" w:space="0"/>
              <w:left w:val="nil"/>
              <w:bottom w:val="single" w:color="auto" w:sz="4" w:space="0"/>
              <w:right w:val="single" w:color="auto" w:sz="4" w:space="0"/>
            </w:tcBorders>
            <w:vAlign w:val="center"/>
          </w:tcPr>
          <w:p w14:paraId="2D7BDC72">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10</w:t>
            </w:r>
          </w:p>
        </w:tc>
        <w:tc>
          <w:tcPr>
            <w:tcW w:w="795" w:type="dxa"/>
            <w:tcBorders>
              <w:top w:val="single" w:color="auto" w:sz="4" w:space="0"/>
              <w:left w:val="nil"/>
              <w:bottom w:val="single" w:color="auto" w:sz="4" w:space="0"/>
              <w:right w:val="single" w:color="auto" w:sz="4" w:space="0"/>
            </w:tcBorders>
            <w:vAlign w:val="center"/>
          </w:tcPr>
          <w:p w14:paraId="39252988">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90</w:t>
            </w:r>
          </w:p>
        </w:tc>
        <w:tc>
          <w:tcPr>
            <w:tcW w:w="765" w:type="dxa"/>
            <w:tcBorders>
              <w:top w:val="single" w:color="auto" w:sz="4" w:space="0"/>
              <w:left w:val="nil"/>
              <w:bottom w:val="single" w:color="auto" w:sz="4" w:space="0"/>
              <w:right w:val="single" w:color="auto" w:sz="4" w:space="0"/>
            </w:tcBorders>
            <w:vAlign w:val="center"/>
          </w:tcPr>
          <w:p w14:paraId="2B1C8494">
            <w:pPr>
              <w:ind w:firstLine="180" w:firstLineChars="100"/>
              <w:jc w:val="center"/>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10</w:t>
            </w:r>
          </w:p>
        </w:tc>
        <w:tc>
          <w:tcPr>
            <w:tcW w:w="1781" w:type="dxa"/>
            <w:gridSpan w:val="2"/>
            <w:tcBorders>
              <w:top w:val="single" w:color="auto" w:sz="4" w:space="0"/>
              <w:left w:val="nil"/>
              <w:bottom w:val="single" w:color="auto" w:sz="4" w:space="0"/>
              <w:right w:val="single" w:color="auto" w:sz="4" w:space="0"/>
            </w:tcBorders>
            <w:vAlign w:val="center"/>
          </w:tcPr>
          <w:p w14:paraId="6485C588">
            <w:pPr>
              <w:rPr>
                <w:rFonts w:ascii="Times New Roman" w:hAnsi="Times New Roman" w:eastAsia="方正仿宋_GBK" w:cs="Times New Roman"/>
                <w:color w:val="000000"/>
                <w:sz w:val="18"/>
                <w:szCs w:val="18"/>
              </w:rPr>
            </w:pPr>
          </w:p>
        </w:tc>
      </w:tr>
    </w:tbl>
    <w:p w14:paraId="1292A8CC">
      <w:pPr>
        <w:pStyle w:val="5"/>
        <w:spacing w:line="596" w:lineRule="exact"/>
        <w:ind w:firstLine="0" w:firstLineChars="0"/>
        <w:rPr>
          <w:rFonts w:hint="eastAsia" w:ascii="方正仿宋_GBK" w:eastAsia="方正仿宋_GBK"/>
          <w:sz w:val="32"/>
          <w:szCs w:val="32"/>
        </w:rPr>
      </w:pPr>
    </w:p>
    <w:p w14:paraId="240CD4C2">
      <w:pPr>
        <w:pStyle w:val="5"/>
        <w:spacing w:line="596" w:lineRule="exact"/>
        <w:ind w:firstLine="0" w:firstLineChars="0"/>
        <w:rPr>
          <w:rFonts w:ascii="方正仿宋_GBK" w:eastAsia="方正仿宋_GBK"/>
          <w:sz w:val="32"/>
          <w:szCs w:val="32"/>
        </w:rPr>
      </w:pPr>
      <w:r>
        <w:rPr>
          <w:rFonts w:hint="eastAsia" w:ascii="方正仿宋_GBK" w:eastAsia="方正仿宋_GBK"/>
          <w:sz w:val="32"/>
          <w:szCs w:val="32"/>
        </w:rPr>
        <w:t>一级项目自评表表样：</w:t>
      </w:r>
    </w:p>
    <w:tbl>
      <w:tblPr>
        <w:tblStyle w:val="2"/>
        <w:tblW w:w="8355" w:type="dxa"/>
        <w:tblInd w:w="91" w:type="dxa"/>
        <w:tblLayout w:type="fixed"/>
        <w:tblCellMar>
          <w:top w:w="0" w:type="dxa"/>
          <w:left w:w="108" w:type="dxa"/>
          <w:bottom w:w="0" w:type="dxa"/>
          <w:right w:w="108" w:type="dxa"/>
        </w:tblCellMar>
      </w:tblPr>
      <w:tblGrid>
        <w:gridCol w:w="600"/>
        <w:gridCol w:w="750"/>
        <w:gridCol w:w="675"/>
        <w:gridCol w:w="720"/>
        <w:gridCol w:w="915"/>
        <w:gridCol w:w="690"/>
        <w:gridCol w:w="705"/>
        <w:gridCol w:w="945"/>
        <w:gridCol w:w="780"/>
        <w:gridCol w:w="795"/>
        <w:gridCol w:w="780"/>
      </w:tblGrid>
      <w:tr w14:paraId="0AFEE477">
        <w:tblPrEx>
          <w:tblCellMar>
            <w:top w:w="0" w:type="dxa"/>
            <w:left w:w="108" w:type="dxa"/>
            <w:bottom w:w="0" w:type="dxa"/>
            <w:right w:w="108" w:type="dxa"/>
          </w:tblCellMar>
        </w:tblPrEx>
        <w:trPr>
          <w:trHeight w:val="1020" w:hRule="atLeast"/>
        </w:trPr>
        <w:tc>
          <w:tcPr>
            <w:tcW w:w="8355" w:type="dxa"/>
            <w:gridSpan w:val="11"/>
            <w:tcBorders>
              <w:top w:val="nil"/>
              <w:left w:val="nil"/>
              <w:bottom w:val="single" w:color="000000" w:sz="4" w:space="0"/>
              <w:right w:val="nil"/>
            </w:tcBorders>
            <w:noWrap/>
            <w:vAlign w:val="center"/>
          </w:tcPr>
          <w:p w14:paraId="0CB95B34">
            <w:pPr>
              <w:autoSpaceDE w:val="0"/>
              <w:spacing w:line="520" w:lineRule="exact"/>
              <w:jc w:val="center"/>
              <w:textAlignment w:val="center"/>
              <w:rPr>
                <w:rFonts w:ascii="方正小标宋_GBK" w:eastAsia="方正小标宋_GBK"/>
                <w:color w:val="000000"/>
                <w:sz w:val="36"/>
                <w:szCs w:val="36"/>
              </w:rPr>
            </w:pPr>
            <w:r>
              <w:rPr>
                <w:rFonts w:hint="eastAsia" w:ascii="方正小标宋_GBK" w:eastAsia="方正小标宋_GBK"/>
                <w:color w:val="000000"/>
                <w:sz w:val="36"/>
                <w:szCs w:val="36"/>
              </w:rPr>
              <w:t>城口县工业园区管理委员会</w:t>
            </w:r>
          </w:p>
          <w:p w14:paraId="68EF8F3A">
            <w:pPr>
              <w:autoSpaceDE w:val="0"/>
              <w:spacing w:line="520" w:lineRule="exact"/>
              <w:jc w:val="center"/>
              <w:textAlignment w:val="center"/>
              <w:rPr>
                <w:rFonts w:ascii="方正小标宋_GBK" w:eastAsia="方正小标宋_GBK"/>
                <w:color w:val="000000"/>
                <w:sz w:val="36"/>
                <w:szCs w:val="36"/>
              </w:rPr>
            </w:pPr>
            <w:r>
              <w:rPr>
                <w:rFonts w:hint="eastAsia" w:ascii="方正小标宋_GBK" w:eastAsia="方正小标宋_GBK"/>
                <w:color w:val="000000"/>
                <w:sz w:val="36"/>
                <w:szCs w:val="36"/>
              </w:rPr>
              <w:t>2022年度项目支出绩效自评表（一级项目）</w:t>
            </w:r>
          </w:p>
        </w:tc>
      </w:tr>
      <w:tr w14:paraId="044CC158">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59E626F3">
            <w:pPr>
              <w:jc w:val="center"/>
              <w:textAlignment w:val="center"/>
              <w:rPr>
                <w:rFonts w:ascii="方正黑体_GBK" w:eastAsia="方正黑体_GBK"/>
                <w:color w:val="000000"/>
                <w:sz w:val="22"/>
                <w:szCs w:val="22"/>
              </w:rPr>
            </w:pPr>
            <w:r>
              <w:rPr>
                <w:rFonts w:hint="eastAsia" w:ascii="方正黑体_GBK" w:eastAsia="方正黑体_GBK"/>
                <w:color w:val="000000"/>
                <w:sz w:val="22"/>
                <w:szCs w:val="22"/>
              </w:rPr>
              <w:t>序号</w:t>
            </w:r>
          </w:p>
        </w:tc>
        <w:tc>
          <w:tcPr>
            <w:tcW w:w="750" w:type="dxa"/>
            <w:tcBorders>
              <w:top w:val="single" w:color="000000" w:sz="4" w:space="0"/>
              <w:left w:val="nil"/>
              <w:bottom w:val="single" w:color="000000" w:sz="4" w:space="0"/>
              <w:right w:val="single" w:color="000000" w:sz="4" w:space="0"/>
            </w:tcBorders>
            <w:vAlign w:val="center"/>
          </w:tcPr>
          <w:p w14:paraId="0FDB7122">
            <w:pPr>
              <w:jc w:val="center"/>
              <w:textAlignment w:val="center"/>
              <w:rPr>
                <w:rFonts w:ascii="方正黑体_GBK" w:eastAsia="方正黑体_GBK"/>
                <w:color w:val="000000"/>
                <w:sz w:val="22"/>
                <w:szCs w:val="22"/>
              </w:rPr>
            </w:pPr>
            <w:r>
              <w:rPr>
                <w:rFonts w:hint="eastAsia" w:ascii="方正黑体_GBK" w:eastAsia="方正黑体_GBK"/>
                <w:color w:val="000000"/>
                <w:sz w:val="22"/>
                <w:szCs w:val="22"/>
              </w:rPr>
              <w:t>项目名称</w:t>
            </w:r>
          </w:p>
        </w:tc>
        <w:tc>
          <w:tcPr>
            <w:tcW w:w="675" w:type="dxa"/>
            <w:tcBorders>
              <w:top w:val="single" w:color="000000" w:sz="4" w:space="0"/>
              <w:left w:val="nil"/>
              <w:bottom w:val="single" w:color="000000" w:sz="4" w:space="0"/>
              <w:right w:val="single" w:color="000000" w:sz="4" w:space="0"/>
            </w:tcBorders>
            <w:vAlign w:val="center"/>
          </w:tcPr>
          <w:p w14:paraId="200BD437">
            <w:pPr>
              <w:jc w:val="center"/>
              <w:textAlignment w:val="center"/>
              <w:rPr>
                <w:rFonts w:ascii="方正黑体_GBK" w:eastAsia="方正黑体_GBK"/>
                <w:color w:val="000000"/>
                <w:sz w:val="22"/>
                <w:szCs w:val="22"/>
              </w:rPr>
            </w:pPr>
            <w:r>
              <w:rPr>
                <w:rFonts w:hint="eastAsia" w:ascii="方正黑体_GBK" w:eastAsia="方正黑体_GBK"/>
                <w:color w:val="000000"/>
                <w:sz w:val="22"/>
                <w:szCs w:val="22"/>
              </w:rPr>
              <w:t>指标名称</w:t>
            </w:r>
          </w:p>
        </w:tc>
        <w:tc>
          <w:tcPr>
            <w:tcW w:w="720" w:type="dxa"/>
            <w:tcBorders>
              <w:top w:val="single" w:color="000000" w:sz="4" w:space="0"/>
              <w:left w:val="nil"/>
              <w:bottom w:val="single" w:color="000000" w:sz="4" w:space="0"/>
              <w:right w:val="single" w:color="000000" w:sz="4" w:space="0"/>
            </w:tcBorders>
            <w:vAlign w:val="center"/>
          </w:tcPr>
          <w:p w14:paraId="460A083F">
            <w:pPr>
              <w:jc w:val="center"/>
              <w:textAlignment w:val="center"/>
              <w:rPr>
                <w:rFonts w:ascii="方正黑体_GBK" w:eastAsia="方正黑体_GBK"/>
                <w:color w:val="000000"/>
                <w:sz w:val="22"/>
                <w:szCs w:val="22"/>
              </w:rPr>
            </w:pPr>
            <w:r>
              <w:rPr>
                <w:rFonts w:hint="eastAsia" w:ascii="方正黑体_GBK" w:eastAsia="方正黑体_GBK"/>
                <w:color w:val="000000"/>
                <w:sz w:val="22"/>
                <w:szCs w:val="22"/>
              </w:rPr>
              <w:t>指标性质</w:t>
            </w:r>
          </w:p>
        </w:tc>
        <w:tc>
          <w:tcPr>
            <w:tcW w:w="915" w:type="dxa"/>
            <w:tcBorders>
              <w:top w:val="single" w:color="000000" w:sz="4" w:space="0"/>
              <w:left w:val="nil"/>
              <w:bottom w:val="single" w:color="000000" w:sz="4" w:space="0"/>
              <w:right w:val="single" w:color="000000" w:sz="4" w:space="0"/>
            </w:tcBorders>
            <w:vAlign w:val="center"/>
          </w:tcPr>
          <w:p w14:paraId="12A248ED">
            <w:pPr>
              <w:jc w:val="center"/>
              <w:textAlignment w:val="center"/>
              <w:rPr>
                <w:rFonts w:ascii="方正黑体_GBK" w:eastAsia="方正黑体_GBK"/>
                <w:color w:val="000000"/>
                <w:sz w:val="22"/>
                <w:szCs w:val="22"/>
              </w:rPr>
            </w:pPr>
            <w:r>
              <w:rPr>
                <w:rFonts w:hint="eastAsia" w:ascii="方正黑体_GBK" w:eastAsia="方正黑体_GBK"/>
                <w:color w:val="000000"/>
                <w:sz w:val="22"/>
                <w:szCs w:val="22"/>
              </w:rPr>
              <w:t>指标值</w:t>
            </w:r>
          </w:p>
        </w:tc>
        <w:tc>
          <w:tcPr>
            <w:tcW w:w="690" w:type="dxa"/>
            <w:tcBorders>
              <w:top w:val="single" w:color="000000" w:sz="4" w:space="0"/>
              <w:left w:val="nil"/>
              <w:bottom w:val="single" w:color="000000" w:sz="4" w:space="0"/>
              <w:right w:val="single" w:color="000000" w:sz="4" w:space="0"/>
            </w:tcBorders>
            <w:vAlign w:val="center"/>
          </w:tcPr>
          <w:p w14:paraId="6A8DD61B">
            <w:pPr>
              <w:jc w:val="center"/>
              <w:textAlignment w:val="center"/>
              <w:rPr>
                <w:rFonts w:ascii="方正黑体_GBK" w:eastAsia="方正黑体_GBK"/>
                <w:color w:val="000000"/>
                <w:sz w:val="22"/>
                <w:szCs w:val="22"/>
              </w:rPr>
            </w:pPr>
            <w:r>
              <w:rPr>
                <w:rFonts w:hint="eastAsia" w:ascii="方正黑体_GBK" w:eastAsia="方正黑体_GBK"/>
                <w:color w:val="000000"/>
                <w:sz w:val="22"/>
                <w:szCs w:val="22"/>
              </w:rPr>
              <w:t>计量单位</w:t>
            </w:r>
          </w:p>
        </w:tc>
        <w:tc>
          <w:tcPr>
            <w:tcW w:w="705" w:type="dxa"/>
            <w:tcBorders>
              <w:top w:val="single" w:color="000000" w:sz="4" w:space="0"/>
              <w:left w:val="nil"/>
              <w:bottom w:val="single" w:color="000000" w:sz="4" w:space="0"/>
              <w:right w:val="single" w:color="000000" w:sz="4" w:space="0"/>
            </w:tcBorders>
            <w:vAlign w:val="center"/>
          </w:tcPr>
          <w:p w14:paraId="315E13B8">
            <w:pPr>
              <w:jc w:val="center"/>
              <w:textAlignment w:val="center"/>
              <w:rPr>
                <w:rFonts w:ascii="方正黑体_GBK" w:eastAsia="方正黑体_GBK"/>
                <w:color w:val="000000"/>
                <w:sz w:val="22"/>
                <w:szCs w:val="22"/>
              </w:rPr>
            </w:pPr>
            <w:r>
              <w:rPr>
                <w:rFonts w:hint="eastAsia" w:ascii="方正黑体_GBK" w:eastAsia="方正黑体_GBK"/>
                <w:color w:val="000000"/>
                <w:sz w:val="22"/>
                <w:szCs w:val="22"/>
              </w:rPr>
              <w:t>指标权重</w:t>
            </w:r>
          </w:p>
        </w:tc>
        <w:tc>
          <w:tcPr>
            <w:tcW w:w="945" w:type="dxa"/>
            <w:tcBorders>
              <w:top w:val="single" w:color="000000" w:sz="4" w:space="0"/>
              <w:left w:val="nil"/>
              <w:bottom w:val="single" w:color="000000" w:sz="4" w:space="0"/>
              <w:right w:val="single" w:color="000000" w:sz="4" w:space="0"/>
            </w:tcBorders>
            <w:vAlign w:val="center"/>
          </w:tcPr>
          <w:p w14:paraId="4F06C055">
            <w:pPr>
              <w:jc w:val="center"/>
              <w:textAlignment w:val="center"/>
              <w:rPr>
                <w:rFonts w:ascii="方正黑体_GBK" w:eastAsia="方正黑体_GBK"/>
                <w:color w:val="000000"/>
                <w:sz w:val="22"/>
                <w:szCs w:val="22"/>
              </w:rPr>
            </w:pPr>
            <w:r>
              <w:rPr>
                <w:rFonts w:hint="eastAsia" w:ascii="方正黑体_GBK" w:eastAsia="方正黑体_GBK"/>
                <w:color w:val="000000"/>
                <w:sz w:val="22"/>
                <w:szCs w:val="22"/>
              </w:rPr>
              <w:t>全年完成值</w:t>
            </w:r>
          </w:p>
        </w:tc>
        <w:tc>
          <w:tcPr>
            <w:tcW w:w="780" w:type="dxa"/>
            <w:tcBorders>
              <w:top w:val="single" w:color="000000" w:sz="4" w:space="0"/>
              <w:left w:val="nil"/>
              <w:bottom w:val="single" w:color="000000" w:sz="4" w:space="0"/>
              <w:right w:val="single" w:color="000000" w:sz="4" w:space="0"/>
            </w:tcBorders>
            <w:vAlign w:val="center"/>
          </w:tcPr>
          <w:p w14:paraId="5EDBF5A6">
            <w:pPr>
              <w:jc w:val="center"/>
              <w:textAlignment w:val="center"/>
              <w:rPr>
                <w:rFonts w:ascii="方正黑体_GBK" w:eastAsia="方正黑体_GBK"/>
                <w:color w:val="000000"/>
                <w:sz w:val="22"/>
                <w:szCs w:val="22"/>
              </w:rPr>
            </w:pPr>
            <w:r>
              <w:rPr>
                <w:rFonts w:hint="eastAsia" w:ascii="方正黑体_GBK" w:eastAsia="方正黑体_GBK"/>
                <w:color w:val="000000"/>
                <w:sz w:val="22"/>
                <w:szCs w:val="22"/>
              </w:rPr>
              <w:t>指标得分</w:t>
            </w:r>
          </w:p>
        </w:tc>
        <w:tc>
          <w:tcPr>
            <w:tcW w:w="795" w:type="dxa"/>
            <w:tcBorders>
              <w:top w:val="single" w:color="000000" w:sz="4" w:space="0"/>
              <w:left w:val="nil"/>
              <w:bottom w:val="single" w:color="000000" w:sz="4" w:space="0"/>
              <w:right w:val="single" w:color="000000" w:sz="4" w:space="0"/>
            </w:tcBorders>
            <w:vAlign w:val="center"/>
          </w:tcPr>
          <w:p w14:paraId="7A9BAD31">
            <w:pPr>
              <w:jc w:val="center"/>
              <w:textAlignment w:val="center"/>
              <w:rPr>
                <w:rFonts w:ascii="方正黑体_GBK" w:eastAsia="方正黑体_GBK"/>
                <w:color w:val="000000"/>
                <w:sz w:val="22"/>
                <w:szCs w:val="22"/>
              </w:rPr>
            </w:pPr>
            <w:r>
              <w:rPr>
                <w:rFonts w:hint="eastAsia" w:ascii="方正黑体_GBK" w:eastAsia="方正黑体_GBK"/>
                <w:color w:val="000000"/>
                <w:sz w:val="22"/>
                <w:szCs w:val="22"/>
              </w:rPr>
              <w:t>说明</w:t>
            </w:r>
          </w:p>
        </w:tc>
        <w:tc>
          <w:tcPr>
            <w:tcW w:w="780" w:type="dxa"/>
            <w:tcBorders>
              <w:top w:val="single" w:color="000000" w:sz="4" w:space="0"/>
              <w:left w:val="nil"/>
              <w:bottom w:val="single" w:color="000000" w:sz="4" w:space="0"/>
              <w:right w:val="single" w:color="000000" w:sz="4" w:space="0"/>
            </w:tcBorders>
            <w:vAlign w:val="center"/>
          </w:tcPr>
          <w:p w14:paraId="70FF6F1C">
            <w:pPr>
              <w:jc w:val="center"/>
              <w:textAlignment w:val="center"/>
              <w:rPr>
                <w:rFonts w:ascii="方正黑体_GBK" w:eastAsia="方正黑体_GBK"/>
                <w:color w:val="000000"/>
                <w:sz w:val="22"/>
                <w:szCs w:val="22"/>
              </w:rPr>
            </w:pPr>
            <w:r>
              <w:rPr>
                <w:rFonts w:hint="eastAsia" w:ascii="方正黑体_GBK" w:eastAsia="方正黑体_GBK"/>
                <w:color w:val="000000"/>
                <w:sz w:val="22"/>
                <w:szCs w:val="22"/>
              </w:rPr>
              <w:t>自评得分</w:t>
            </w:r>
          </w:p>
        </w:tc>
      </w:tr>
      <w:tr w14:paraId="5B7633CC">
        <w:tblPrEx>
          <w:tblCellMar>
            <w:top w:w="0" w:type="dxa"/>
            <w:left w:w="108" w:type="dxa"/>
            <w:bottom w:w="0" w:type="dxa"/>
            <w:right w:w="108" w:type="dxa"/>
          </w:tblCellMar>
        </w:tblPrEx>
        <w:trPr>
          <w:trHeight w:val="432" w:hRule="atLeast"/>
        </w:trPr>
        <w:tc>
          <w:tcPr>
            <w:tcW w:w="600" w:type="dxa"/>
            <w:vMerge w:val="restart"/>
            <w:tcBorders>
              <w:top w:val="nil"/>
              <w:left w:val="single" w:color="000000" w:sz="4" w:space="0"/>
              <w:bottom w:val="nil"/>
              <w:right w:val="single" w:color="000000" w:sz="4" w:space="0"/>
            </w:tcBorders>
            <w:noWrap/>
            <w:vAlign w:val="center"/>
          </w:tcPr>
          <w:p w14:paraId="48222BDD">
            <w:pPr>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1</w:t>
            </w:r>
          </w:p>
        </w:tc>
        <w:tc>
          <w:tcPr>
            <w:tcW w:w="750" w:type="dxa"/>
            <w:vMerge w:val="restart"/>
            <w:tcBorders>
              <w:top w:val="nil"/>
              <w:left w:val="nil"/>
              <w:bottom w:val="single" w:color="000000" w:sz="4" w:space="0"/>
              <w:right w:val="single" w:color="000000" w:sz="4" w:space="0"/>
            </w:tcBorders>
            <w:noWrap/>
            <w:vAlign w:val="center"/>
          </w:tcPr>
          <w:p w14:paraId="2B4BD287">
            <w:pPr>
              <w:jc w:val="center"/>
              <w:rPr>
                <w:rFonts w:ascii="Times New Roman" w:hAnsi="Times New Roman" w:eastAsia="方正仿宋_GBK" w:cs="Times New Roman"/>
                <w:color w:val="000000"/>
                <w:sz w:val="22"/>
                <w:szCs w:val="22"/>
              </w:rPr>
            </w:pPr>
            <w:r>
              <w:rPr>
                <w:rFonts w:hint="eastAsia" w:ascii="方正仿宋_GBK" w:eastAsia="方正仿宋_GBK"/>
                <w:color w:val="000000"/>
                <w:sz w:val="22"/>
                <w:szCs w:val="22"/>
              </w:rPr>
              <w:t>城口县中小企业集聚区前期工作</w:t>
            </w:r>
          </w:p>
        </w:tc>
        <w:tc>
          <w:tcPr>
            <w:tcW w:w="675" w:type="dxa"/>
            <w:tcBorders>
              <w:top w:val="single" w:color="000000" w:sz="4" w:space="0"/>
              <w:left w:val="nil"/>
              <w:bottom w:val="single" w:color="000000" w:sz="4" w:space="0"/>
              <w:right w:val="single" w:color="000000" w:sz="4" w:space="0"/>
            </w:tcBorders>
            <w:noWrap/>
            <w:vAlign w:val="center"/>
          </w:tcPr>
          <w:p w14:paraId="68BD0C52">
            <w:pPr>
              <w:jc w:val="center"/>
              <w:rPr>
                <w:rFonts w:ascii="Times New Roman" w:hAnsi="Times New Roman" w:eastAsia="方正仿宋_GBK" w:cs="Times New Roman"/>
                <w:color w:val="000000"/>
                <w:sz w:val="22"/>
                <w:szCs w:val="22"/>
              </w:rPr>
            </w:pPr>
            <w:r>
              <w:rPr>
                <w:rFonts w:hint="eastAsia" w:ascii="方正仿宋_GBK" w:eastAsia="方正仿宋_GBK"/>
                <w:color w:val="000000"/>
                <w:sz w:val="22"/>
                <w:szCs w:val="22"/>
              </w:rPr>
              <w:t>编制报告数量</w:t>
            </w:r>
          </w:p>
        </w:tc>
        <w:tc>
          <w:tcPr>
            <w:tcW w:w="720" w:type="dxa"/>
            <w:tcBorders>
              <w:top w:val="single" w:color="000000" w:sz="4" w:space="0"/>
              <w:left w:val="nil"/>
              <w:bottom w:val="single" w:color="000000" w:sz="4" w:space="0"/>
              <w:right w:val="single" w:color="000000" w:sz="4" w:space="0"/>
            </w:tcBorders>
            <w:noWrap/>
            <w:vAlign w:val="center"/>
          </w:tcPr>
          <w:p w14:paraId="625308B7">
            <w:pPr>
              <w:jc w:val="center"/>
              <w:textAlignment w:val="center"/>
              <w:rPr>
                <w:rFonts w:ascii="Times New Roman" w:hAnsi="Times New Roman" w:eastAsia="方正仿宋_GBK" w:cs="Times New Roman"/>
                <w:color w:val="000000"/>
                <w:sz w:val="22"/>
                <w:szCs w:val="22"/>
              </w:rPr>
            </w:pPr>
            <w:r>
              <w:rPr>
                <w:rFonts w:hint="eastAsia" w:ascii="方正仿宋_GBK" w:eastAsia="方正仿宋_GBK"/>
                <w:color w:val="000000"/>
                <w:sz w:val="22"/>
                <w:szCs w:val="22"/>
              </w:rPr>
              <w:t>＝</w:t>
            </w:r>
          </w:p>
        </w:tc>
        <w:tc>
          <w:tcPr>
            <w:tcW w:w="915" w:type="dxa"/>
            <w:tcBorders>
              <w:top w:val="single" w:color="000000" w:sz="4" w:space="0"/>
              <w:left w:val="nil"/>
              <w:bottom w:val="single" w:color="000000" w:sz="4" w:space="0"/>
              <w:right w:val="single" w:color="000000" w:sz="4" w:space="0"/>
            </w:tcBorders>
            <w:noWrap/>
            <w:vAlign w:val="center"/>
          </w:tcPr>
          <w:p w14:paraId="708DD416">
            <w:pPr>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7</w:t>
            </w:r>
          </w:p>
        </w:tc>
        <w:tc>
          <w:tcPr>
            <w:tcW w:w="690" w:type="dxa"/>
            <w:tcBorders>
              <w:top w:val="single" w:color="000000" w:sz="4" w:space="0"/>
              <w:left w:val="nil"/>
              <w:bottom w:val="single" w:color="000000" w:sz="4" w:space="0"/>
              <w:right w:val="single" w:color="000000" w:sz="4" w:space="0"/>
            </w:tcBorders>
            <w:noWrap/>
            <w:vAlign w:val="center"/>
          </w:tcPr>
          <w:p w14:paraId="3DF90E5E">
            <w:pPr>
              <w:jc w:val="center"/>
              <w:textAlignment w:val="center"/>
              <w:rPr>
                <w:rFonts w:ascii="Times New Roman" w:hAnsi="Times New Roman" w:eastAsia="方正仿宋_GBK" w:cs="Times New Roman"/>
                <w:color w:val="000000"/>
                <w:sz w:val="22"/>
                <w:szCs w:val="22"/>
              </w:rPr>
            </w:pPr>
            <w:r>
              <w:rPr>
                <w:rFonts w:hint="eastAsia" w:ascii="方正仿宋_GBK" w:eastAsia="方正仿宋_GBK"/>
                <w:color w:val="000000"/>
                <w:sz w:val="22"/>
                <w:szCs w:val="22"/>
              </w:rPr>
              <w:t>个</w:t>
            </w:r>
          </w:p>
        </w:tc>
        <w:tc>
          <w:tcPr>
            <w:tcW w:w="705" w:type="dxa"/>
            <w:tcBorders>
              <w:top w:val="single" w:color="000000" w:sz="4" w:space="0"/>
              <w:left w:val="nil"/>
              <w:bottom w:val="single" w:color="000000" w:sz="4" w:space="0"/>
              <w:right w:val="single" w:color="000000" w:sz="4" w:space="0"/>
            </w:tcBorders>
            <w:noWrap/>
            <w:vAlign w:val="center"/>
          </w:tcPr>
          <w:p w14:paraId="1277E0FD">
            <w:pPr>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30</w:t>
            </w:r>
          </w:p>
        </w:tc>
        <w:tc>
          <w:tcPr>
            <w:tcW w:w="945" w:type="dxa"/>
            <w:tcBorders>
              <w:top w:val="single" w:color="000000" w:sz="4" w:space="0"/>
              <w:left w:val="nil"/>
              <w:bottom w:val="single" w:color="000000" w:sz="4" w:space="0"/>
              <w:right w:val="single" w:color="000000" w:sz="4" w:space="0"/>
            </w:tcBorders>
            <w:noWrap/>
            <w:vAlign w:val="center"/>
          </w:tcPr>
          <w:p w14:paraId="0E21243C">
            <w:pPr>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7</w:t>
            </w:r>
          </w:p>
        </w:tc>
        <w:tc>
          <w:tcPr>
            <w:tcW w:w="780" w:type="dxa"/>
            <w:tcBorders>
              <w:top w:val="single" w:color="000000" w:sz="4" w:space="0"/>
              <w:left w:val="nil"/>
              <w:bottom w:val="single" w:color="000000" w:sz="4" w:space="0"/>
              <w:right w:val="single" w:color="000000" w:sz="4" w:space="0"/>
            </w:tcBorders>
            <w:noWrap/>
            <w:vAlign w:val="center"/>
          </w:tcPr>
          <w:p w14:paraId="3C9E715B">
            <w:pPr>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30</w:t>
            </w:r>
          </w:p>
        </w:tc>
        <w:tc>
          <w:tcPr>
            <w:tcW w:w="795" w:type="dxa"/>
            <w:tcBorders>
              <w:top w:val="single" w:color="000000" w:sz="4" w:space="0"/>
              <w:left w:val="nil"/>
              <w:bottom w:val="single" w:color="000000" w:sz="4" w:space="0"/>
              <w:right w:val="single" w:color="000000" w:sz="4" w:space="0"/>
            </w:tcBorders>
            <w:noWrap/>
            <w:vAlign w:val="center"/>
          </w:tcPr>
          <w:p w14:paraId="62A78F99">
            <w:pPr>
              <w:jc w:val="center"/>
              <w:rPr>
                <w:rFonts w:ascii="Times New Roman" w:hAnsi="Times New Roman" w:eastAsia="方正仿宋_GBK" w:cs="Times New Roman"/>
                <w:color w:val="000000"/>
                <w:sz w:val="22"/>
                <w:szCs w:val="22"/>
              </w:rPr>
            </w:pPr>
          </w:p>
        </w:tc>
        <w:tc>
          <w:tcPr>
            <w:tcW w:w="780" w:type="dxa"/>
            <w:vMerge w:val="restart"/>
            <w:tcBorders>
              <w:top w:val="nil"/>
              <w:left w:val="nil"/>
              <w:bottom w:val="single" w:color="000000" w:sz="4" w:space="0"/>
              <w:right w:val="single" w:color="000000" w:sz="4" w:space="0"/>
            </w:tcBorders>
            <w:noWrap/>
            <w:vAlign w:val="center"/>
          </w:tcPr>
          <w:p w14:paraId="29E511F0">
            <w:pPr>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99.40</w:t>
            </w:r>
          </w:p>
        </w:tc>
      </w:tr>
      <w:tr w14:paraId="169E994A">
        <w:tblPrEx>
          <w:tblCellMar>
            <w:top w:w="0" w:type="dxa"/>
            <w:left w:w="108" w:type="dxa"/>
            <w:bottom w:w="0" w:type="dxa"/>
            <w:right w:w="108" w:type="dxa"/>
          </w:tblCellMar>
        </w:tblPrEx>
        <w:trPr>
          <w:trHeight w:val="432" w:hRule="atLeast"/>
        </w:trPr>
        <w:tc>
          <w:tcPr>
            <w:tcW w:w="8355" w:type="dxa"/>
            <w:vMerge w:val="continue"/>
            <w:tcBorders>
              <w:top w:val="nil"/>
              <w:left w:val="single" w:color="000000" w:sz="4" w:space="0"/>
              <w:bottom w:val="nil"/>
              <w:right w:val="single" w:color="000000" w:sz="4" w:space="0"/>
            </w:tcBorders>
            <w:vAlign w:val="center"/>
          </w:tcPr>
          <w:p w14:paraId="42A15646">
            <w:pPr>
              <w:rPr>
                <w:rFonts w:ascii="Times New Roman" w:hAnsi="Times New Roman" w:eastAsia="方正仿宋_GBK" w:cs="Times New Roman"/>
                <w:color w:val="000000"/>
                <w:sz w:val="22"/>
                <w:szCs w:val="22"/>
              </w:rPr>
            </w:pPr>
          </w:p>
        </w:tc>
        <w:tc>
          <w:tcPr>
            <w:tcW w:w="750" w:type="dxa"/>
            <w:vMerge w:val="continue"/>
            <w:tcBorders>
              <w:top w:val="nil"/>
              <w:left w:val="nil"/>
              <w:bottom w:val="single" w:color="000000" w:sz="4" w:space="0"/>
              <w:right w:val="single" w:color="000000" w:sz="4" w:space="0"/>
            </w:tcBorders>
            <w:vAlign w:val="center"/>
          </w:tcPr>
          <w:p w14:paraId="0FEA9CBF">
            <w:pPr>
              <w:rPr>
                <w:rFonts w:ascii="Times New Roman" w:hAnsi="Times New Roman" w:eastAsia="方正仿宋_GBK" w:cs="Times New Roman"/>
                <w:color w:val="000000"/>
                <w:sz w:val="22"/>
                <w:szCs w:val="22"/>
              </w:rPr>
            </w:pPr>
          </w:p>
        </w:tc>
        <w:tc>
          <w:tcPr>
            <w:tcW w:w="675" w:type="dxa"/>
            <w:tcBorders>
              <w:top w:val="single" w:color="000000" w:sz="4" w:space="0"/>
              <w:left w:val="nil"/>
              <w:bottom w:val="single" w:color="000000" w:sz="4" w:space="0"/>
              <w:right w:val="single" w:color="000000" w:sz="4" w:space="0"/>
            </w:tcBorders>
            <w:noWrap/>
            <w:vAlign w:val="center"/>
          </w:tcPr>
          <w:p w14:paraId="0AFBF7C8">
            <w:pPr>
              <w:jc w:val="center"/>
              <w:rPr>
                <w:rFonts w:ascii="Times New Roman" w:hAnsi="Times New Roman" w:eastAsia="方正仿宋_GBK" w:cs="Times New Roman"/>
                <w:color w:val="000000"/>
                <w:sz w:val="22"/>
                <w:szCs w:val="22"/>
              </w:rPr>
            </w:pPr>
            <w:r>
              <w:rPr>
                <w:rFonts w:hint="eastAsia" w:ascii="方正仿宋_GBK" w:eastAsia="方正仿宋_GBK"/>
                <w:color w:val="000000"/>
                <w:sz w:val="22"/>
                <w:szCs w:val="22"/>
              </w:rPr>
              <w:t>报告合格率</w:t>
            </w:r>
          </w:p>
        </w:tc>
        <w:tc>
          <w:tcPr>
            <w:tcW w:w="720" w:type="dxa"/>
            <w:tcBorders>
              <w:top w:val="single" w:color="000000" w:sz="4" w:space="0"/>
              <w:left w:val="nil"/>
              <w:bottom w:val="single" w:color="000000" w:sz="4" w:space="0"/>
              <w:right w:val="single" w:color="000000" w:sz="4" w:space="0"/>
            </w:tcBorders>
            <w:noWrap/>
            <w:vAlign w:val="center"/>
          </w:tcPr>
          <w:p w14:paraId="6D0E45F9">
            <w:pPr>
              <w:jc w:val="center"/>
              <w:textAlignment w:val="center"/>
              <w:rPr>
                <w:rFonts w:ascii="Times New Roman" w:hAnsi="Times New Roman" w:eastAsia="方正仿宋_GBK" w:cs="Times New Roman"/>
                <w:color w:val="000000"/>
                <w:sz w:val="22"/>
                <w:szCs w:val="22"/>
              </w:rPr>
            </w:pPr>
            <w:r>
              <w:rPr>
                <w:rFonts w:hint="eastAsia" w:ascii="方正仿宋_GBK" w:eastAsia="方正仿宋_GBK"/>
                <w:color w:val="000000"/>
                <w:sz w:val="22"/>
                <w:szCs w:val="22"/>
              </w:rPr>
              <w:t>＝</w:t>
            </w:r>
          </w:p>
        </w:tc>
        <w:tc>
          <w:tcPr>
            <w:tcW w:w="915" w:type="dxa"/>
            <w:tcBorders>
              <w:top w:val="single" w:color="000000" w:sz="4" w:space="0"/>
              <w:left w:val="nil"/>
              <w:bottom w:val="single" w:color="000000" w:sz="4" w:space="0"/>
              <w:right w:val="single" w:color="000000" w:sz="4" w:space="0"/>
            </w:tcBorders>
            <w:noWrap/>
            <w:vAlign w:val="center"/>
          </w:tcPr>
          <w:p w14:paraId="5C0777ED">
            <w:pPr>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100</w:t>
            </w:r>
          </w:p>
        </w:tc>
        <w:tc>
          <w:tcPr>
            <w:tcW w:w="690" w:type="dxa"/>
            <w:tcBorders>
              <w:top w:val="single" w:color="000000" w:sz="4" w:space="0"/>
              <w:left w:val="nil"/>
              <w:bottom w:val="single" w:color="000000" w:sz="4" w:space="0"/>
              <w:right w:val="single" w:color="000000" w:sz="4" w:space="0"/>
            </w:tcBorders>
            <w:noWrap/>
            <w:vAlign w:val="center"/>
          </w:tcPr>
          <w:p w14:paraId="65905557">
            <w:pPr>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w:t>
            </w:r>
          </w:p>
        </w:tc>
        <w:tc>
          <w:tcPr>
            <w:tcW w:w="705" w:type="dxa"/>
            <w:tcBorders>
              <w:top w:val="single" w:color="000000" w:sz="4" w:space="0"/>
              <w:left w:val="nil"/>
              <w:bottom w:val="single" w:color="000000" w:sz="4" w:space="0"/>
              <w:right w:val="single" w:color="000000" w:sz="4" w:space="0"/>
            </w:tcBorders>
            <w:noWrap/>
            <w:vAlign w:val="center"/>
          </w:tcPr>
          <w:p w14:paraId="207B393E">
            <w:pPr>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30</w:t>
            </w:r>
          </w:p>
        </w:tc>
        <w:tc>
          <w:tcPr>
            <w:tcW w:w="945" w:type="dxa"/>
            <w:tcBorders>
              <w:top w:val="single" w:color="000000" w:sz="4" w:space="0"/>
              <w:left w:val="nil"/>
              <w:bottom w:val="single" w:color="000000" w:sz="4" w:space="0"/>
              <w:right w:val="single" w:color="000000" w:sz="4" w:space="0"/>
            </w:tcBorders>
            <w:noWrap/>
            <w:vAlign w:val="center"/>
          </w:tcPr>
          <w:p w14:paraId="6E0F91EA">
            <w:pPr>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100</w:t>
            </w:r>
          </w:p>
        </w:tc>
        <w:tc>
          <w:tcPr>
            <w:tcW w:w="780" w:type="dxa"/>
            <w:tcBorders>
              <w:top w:val="single" w:color="000000" w:sz="4" w:space="0"/>
              <w:left w:val="nil"/>
              <w:bottom w:val="single" w:color="000000" w:sz="4" w:space="0"/>
              <w:right w:val="single" w:color="000000" w:sz="4" w:space="0"/>
            </w:tcBorders>
            <w:noWrap/>
            <w:vAlign w:val="center"/>
          </w:tcPr>
          <w:p w14:paraId="3FD43F27">
            <w:pPr>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30</w:t>
            </w:r>
          </w:p>
        </w:tc>
        <w:tc>
          <w:tcPr>
            <w:tcW w:w="795" w:type="dxa"/>
            <w:tcBorders>
              <w:top w:val="single" w:color="000000" w:sz="4" w:space="0"/>
              <w:left w:val="nil"/>
              <w:bottom w:val="single" w:color="000000" w:sz="4" w:space="0"/>
              <w:right w:val="single" w:color="000000" w:sz="4" w:space="0"/>
            </w:tcBorders>
            <w:noWrap/>
            <w:vAlign w:val="center"/>
          </w:tcPr>
          <w:p w14:paraId="02F96651">
            <w:pPr>
              <w:jc w:val="center"/>
              <w:rPr>
                <w:rFonts w:ascii="Times New Roman" w:hAnsi="Times New Roman" w:eastAsia="方正仿宋_GBK" w:cs="Times New Roman"/>
                <w:color w:val="000000"/>
                <w:sz w:val="22"/>
                <w:szCs w:val="22"/>
              </w:rPr>
            </w:pPr>
          </w:p>
        </w:tc>
        <w:tc>
          <w:tcPr>
            <w:tcW w:w="780" w:type="dxa"/>
            <w:vMerge w:val="continue"/>
            <w:tcBorders>
              <w:top w:val="nil"/>
              <w:left w:val="nil"/>
              <w:bottom w:val="single" w:color="000000" w:sz="4" w:space="0"/>
              <w:right w:val="single" w:color="000000" w:sz="4" w:space="0"/>
            </w:tcBorders>
            <w:vAlign w:val="center"/>
          </w:tcPr>
          <w:p w14:paraId="130084ED">
            <w:pPr>
              <w:rPr>
                <w:rFonts w:ascii="Times New Roman" w:hAnsi="Times New Roman" w:eastAsia="方正仿宋_GBK" w:cs="Times New Roman"/>
                <w:color w:val="000000"/>
                <w:sz w:val="22"/>
                <w:szCs w:val="22"/>
              </w:rPr>
            </w:pPr>
          </w:p>
        </w:tc>
      </w:tr>
      <w:tr w14:paraId="2E0FE1D1">
        <w:tblPrEx>
          <w:tblCellMar>
            <w:top w:w="0" w:type="dxa"/>
            <w:left w:w="108" w:type="dxa"/>
            <w:bottom w:w="0" w:type="dxa"/>
            <w:right w:w="108" w:type="dxa"/>
          </w:tblCellMar>
        </w:tblPrEx>
        <w:trPr>
          <w:trHeight w:val="432" w:hRule="atLeast"/>
        </w:trPr>
        <w:tc>
          <w:tcPr>
            <w:tcW w:w="8355" w:type="dxa"/>
            <w:vMerge w:val="continue"/>
            <w:tcBorders>
              <w:top w:val="nil"/>
              <w:left w:val="single" w:color="000000" w:sz="4" w:space="0"/>
              <w:bottom w:val="nil"/>
              <w:right w:val="single" w:color="000000" w:sz="4" w:space="0"/>
            </w:tcBorders>
            <w:vAlign w:val="center"/>
          </w:tcPr>
          <w:p w14:paraId="76FF10C1">
            <w:pPr>
              <w:rPr>
                <w:rFonts w:ascii="Times New Roman" w:hAnsi="Times New Roman" w:eastAsia="方正仿宋_GBK" w:cs="Times New Roman"/>
                <w:color w:val="000000"/>
                <w:sz w:val="22"/>
                <w:szCs w:val="22"/>
              </w:rPr>
            </w:pPr>
          </w:p>
        </w:tc>
        <w:tc>
          <w:tcPr>
            <w:tcW w:w="750" w:type="dxa"/>
            <w:vMerge w:val="continue"/>
            <w:tcBorders>
              <w:top w:val="nil"/>
              <w:left w:val="nil"/>
              <w:bottom w:val="single" w:color="000000" w:sz="4" w:space="0"/>
              <w:right w:val="single" w:color="000000" w:sz="4" w:space="0"/>
            </w:tcBorders>
            <w:vAlign w:val="center"/>
          </w:tcPr>
          <w:p w14:paraId="187672FF">
            <w:pPr>
              <w:rPr>
                <w:rFonts w:ascii="Times New Roman" w:hAnsi="Times New Roman" w:eastAsia="方正仿宋_GBK" w:cs="Times New Roman"/>
                <w:color w:val="000000"/>
                <w:sz w:val="22"/>
                <w:szCs w:val="22"/>
              </w:rPr>
            </w:pPr>
          </w:p>
        </w:tc>
        <w:tc>
          <w:tcPr>
            <w:tcW w:w="675" w:type="dxa"/>
            <w:tcBorders>
              <w:top w:val="single" w:color="000000" w:sz="4" w:space="0"/>
              <w:left w:val="nil"/>
              <w:bottom w:val="single" w:color="000000" w:sz="4" w:space="0"/>
              <w:right w:val="single" w:color="000000" w:sz="4" w:space="0"/>
            </w:tcBorders>
            <w:noWrap/>
            <w:vAlign w:val="center"/>
          </w:tcPr>
          <w:p w14:paraId="7C3ECA2E">
            <w:pPr>
              <w:jc w:val="center"/>
              <w:rPr>
                <w:rFonts w:ascii="Times New Roman" w:hAnsi="Times New Roman" w:eastAsia="方正仿宋_GBK" w:cs="Times New Roman"/>
                <w:color w:val="000000"/>
                <w:sz w:val="22"/>
                <w:szCs w:val="22"/>
              </w:rPr>
            </w:pPr>
            <w:r>
              <w:rPr>
                <w:rFonts w:hint="eastAsia" w:ascii="方正仿宋_GBK" w:eastAsia="方正仿宋_GBK"/>
                <w:color w:val="000000"/>
                <w:sz w:val="22"/>
                <w:szCs w:val="22"/>
              </w:rPr>
              <w:t>产业发展可持续性</w:t>
            </w:r>
          </w:p>
        </w:tc>
        <w:tc>
          <w:tcPr>
            <w:tcW w:w="720" w:type="dxa"/>
            <w:tcBorders>
              <w:top w:val="single" w:color="000000" w:sz="4" w:space="0"/>
              <w:left w:val="nil"/>
              <w:bottom w:val="single" w:color="000000" w:sz="4" w:space="0"/>
              <w:right w:val="single" w:color="000000" w:sz="4" w:space="0"/>
            </w:tcBorders>
            <w:noWrap/>
            <w:vAlign w:val="center"/>
          </w:tcPr>
          <w:p w14:paraId="05B5DFF8">
            <w:pPr>
              <w:jc w:val="center"/>
              <w:textAlignment w:val="center"/>
              <w:rPr>
                <w:rFonts w:ascii="Times New Roman" w:hAnsi="Times New Roman" w:eastAsia="方正仿宋_GBK" w:cs="Times New Roman"/>
                <w:color w:val="000000"/>
                <w:sz w:val="22"/>
                <w:szCs w:val="22"/>
              </w:rPr>
            </w:pPr>
            <w:r>
              <w:rPr>
                <w:rFonts w:hint="eastAsia" w:ascii="方正仿宋_GBK" w:eastAsia="方正仿宋_GBK"/>
                <w:color w:val="000000"/>
                <w:sz w:val="22"/>
                <w:szCs w:val="22"/>
              </w:rPr>
              <w:t>定性</w:t>
            </w:r>
          </w:p>
        </w:tc>
        <w:tc>
          <w:tcPr>
            <w:tcW w:w="915" w:type="dxa"/>
            <w:tcBorders>
              <w:top w:val="single" w:color="000000" w:sz="4" w:space="0"/>
              <w:left w:val="nil"/>
              <w:bottom w:val="single" w:color="000000" w:sz="4" w:space="0"/>
              <w:right w:val="single" w:color="000000" w:sz="4" w:space="0"/>
            </w:tcBorders>
            <w:noWrap/>
            <w:vAlign w:val="center"/>
          </w:tcPr>
          <w:p w14:paraId="15FF4385">
            <w:pPr>
              <w:jc w:val="center"/>
              <w:textAlignment w:val="center"/>
              <w:rPr>
                <w:rFonts w:ascii="Times New Roman" w:hAnsi="Times New Roman" w:eastAsia="方正仿宋_GBK" w:cs="Times New Roman"/>
                <w:color w:val="000000"/>
                <w:sz w:val="22"/>
                <w:szCs w:val="22"/>
              </w:rPr>
            </w:pPr>
            <w:r>
              <w:rPr>
                <w:rFonts w:hint="eastAsia" w:ascii="方正仿宋_GBK" w:eastAsia="方正仿宋_GBK"/>
                <w:color w:val="000000"/>
                <w:sz w:val="22"/>
                <w:szCs w:val="22"/>
              </w:rPr>
              <w:t>有效改善</w:t>
            </w:r>
          </w:p>
        </w:tc>
        <w:tc>
          <w:tcPr>
            <w:tcW w:w="690" w:type="dxa"/>
            <w:tcBorders>
              <w:top w:val="single" w:color="000000" w:sz="4" w:space="0"/>
              <w:left w:val="nil"/>
              <w:bottom w:val="single" w:color="000000" w:sz="4" w:space="0"/>
              <w:right w:val="single" w:color="000000" w:sz="4" w:space="0"/>
            </w:tcBorders>
            <w:noWrap/>
            <w:vAlign w:val="center"/>
          </w:tcPr>
          <w:p w14:paraId="1605336D">
            <w:pPr>
              <w:jc w:val="center"/>
              <w:textAlignment w:val="center"/>
              <w:rPr>
                <w:rFonts w:ascii="Times New Roman" w:hAnsi="Times New Roman" w:eastAsia="方正仿宋_GBK" w:cs="Times New Roman"/>
                <w:color w:val="000000"/>
                <w:sz w:val="22"/>
                <w:szCs w:val="22"/>
              </w:rPr>
            </w:pPr>
            <w:r>
              <w:rPr>
                <w:rFonts w:hint="eastAsia" w:ascii="方正仿宋_GBK" w:eastAsia="方正仿宋_GBK"/>
                <w:color w:val="000000"/>
                <w:sz w:val="22"/>
                <w:szCs w:val="22"/>
              </w:rPr>
              <w:t>其他</w:t>
            </w:r>
          </w:p>
        </w:tc>
        <w:tc>
          <w:tcPr>
            <w:tcW w:w="705" w:type="dxa"/>
            <w:tcBorders>
              <w:top w:val="single" w:color="000000" w:sz="4" w:space="0"/>
              <w:left w:val="nil"/>
              <w:bottom w:val="single" w:color="000000" w:sz="4" w:space="0"/>
              <w:right w:val="single" w:color="000000" w:sz="4" w:space="0"/>
            </w:tcBorders>
            <w:noWrap/>
            <w:vAlign w:val="center"/>
          </w:tcPr>
          <w:p w14:paraId="3A8DF94F">
            <w:pPr>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20</w:t>
            </w:r>
          </w:p>
        </w:tc>
        <w:tc>
          <w:tcPr>
            <w:tcW w:w="945" w:type="dxa"/>
            <w:tcBorders>
              <w:top w:val="single" w:color="000000" w:sz="4" w:space="0"/>
              <w:left w:val="nil"/>
              <w:bottom w:val="single" w:color="000000" w:sz="4" w:space="0"/>
              <w:right w:val="single" w:color="000000" w:sz="4" w:space="0"/>
            </w:tcBorders>
            <w:noWrap/>
            <w:vAlign w:val="center"/>
          </w:tcPr>
          <w:p w14:paraId="7D6CC160">
            <w:pPr>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1</w:t>
            </w:r>
          </w:p>
        </w:tc>
        <w:tc>
          <w:tcPr>
            <w:tcW w:w="780" w:type="dxa"/>
            <w:tcBorders>
              <w:top w:val="single" w:color="000000" w:sz="4" w:space="0"/>
              <w:left w:val="nil"/>
              <w:bottom w:val="single" w:color="000000" w:sz="4" w:space="0"/>
              <w:right w:val="single" w:color="000000" w:sz="4" w:space="0"/>
            </w:tcBorders>
            <w:noWrap/>
            <w:vAlign w:val="center"/>
          </w:tcPr>
          <w:p w14:paraId="0A0E2A66">
            <w:pPr>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20</w:t>
            </w:r>
          </w:p>
        </w:tc>
        <w:tc>
          <w:tcPr>
            <w:tcW w:w="795" w:type="dxa"/>
            <w:tcBorders>
              <w:top w:val="single" w:color="000000" w:sz="4" w:space="0"/>
              <w:left w:val="nil"/>
              <w:bottom w:val="single" w:color="000000" w:sz="4" w:space="0"/>
              <w:right w:val="single" w:color="000000" w:sz="4" w:space="0"/>
            </w:tcBorders>
            <w:noWrap/>
            <w:vAlign w:val="center"/>
          </w:tcPr>
          <w:p w14:paraId="33EBD004">
            <w:pPr>
              <w:jc w:val="center"/>
              <w:rPr>
                <w:rFonts w:ascii="Times New Roman" w:hAnsi="Times New Roman" w:eastAsia="方正仿宋_GBK" w:cs="Times New Roman"/>
                <w:color w:val="000000"/>
                <w:sz w:val="22"/>
                <w:szCs w:val="22"/>
              </w:rPr>
            </w:pPr>
          </w:p>
        </w:tc>
        <w:tc>
          <w:tcPr>
            <w:tcW w:w="780" w:type="dxa"/>
            <w:vMerge w:val="continue"/>
            <w:tcBorders>
              <w:top w:val="nil"/>
              <w:left w:val="nil"/>
              <w:bottom w:val="single" w:color="000000" w:sz="4" w:space="0"/>
              <w:right w:val="single" w:color="000000" w:sz="4" w:space="0"/>
            </w:tcBorders>
            <w:vAlign w:val="center"/>
          </w:tcPr>
          <w:p w14:paraId="756192E9">
            <w:pPr>
              <w:rPr>
                <w:rFonts w:ascii="Times New Roman" w:hAnsi="Times New Roman" w:eastAsia="方正仿宋_GBK" w:cs="Times New Roman"/>
                <w:color w:val="000000"/>
                <w:sz w:val="22"/>
                <w:szCs w:val="22"/>
              </w:rPr>
            </w:pPr>
          </w:p>
        </w:tc>
      </w:tr>
      <w:tr w14:paraId="2964ABCA">
        <w:tblPrEx>
          <w:tblCellMar>
            <w:top w:w="0" w:type="dxa"/>
            <w:left w:w="108" w:type="dxa"/>
            <w:bottom w:w="0" w:type="dxa"/>
            <w:right w:w="108" w:type="dxa"/>
          </w:tblCellMar>
        </w:tblPrEx>
        <w:trPr>
          <w:trHeight w:val="432" w:hRule="atLeast"/>
        </w:trPr>
        <w:tc>
          <w:tcPr>
            <w:tcW w:w="8355" w:type="dxa"/>
            <w:vMerge w:val="continue"/>
            <w:tcBorders>
              <w:top w:val="nil"/>
              <w:left w:val="single" w:color="000000" w:sz="4" w:space="0"/>
              <w:bottom w:val="nil"/>
              <w:right w:val="single" w:color="000000" w:sz="4" w:space="0"/>
            </w:tcBorders>
            <w:vAlign w:val="center"/>
          </w:tcPr>
          <w:p w14:paraId="4CBBF9F1">
            <w:pPr>
              <w:rPr>
                <w:rFonts w:ascii="Times New Roman" w:hAnsi="Times New Roman" w:eastAsia="方正仿宋_GBK" w:cs="Times New Roman"/>
                <w:color w:val="000000"/>
                <w:sz w:val="22"/>
                <w:szCs w:val="22"/>
              </w:rPr>
            </w:pPr>
          </w:p>
        </w:tc>
        <w:tc>
          <w:tcPr>
            <w:tcW w:w="750" w:type="dxa"/>
            <w:vMerge w:val="continue"/>
            <w:tcBorders>
              <w:top w:val="nil"/>
              <w:left w:val="nil"/>
              <w:bottom w:val="single" w:color="000000" w:sz="4" w:space="0"/>
              <w:right w:val="single" w:color="000000" w:sz="4" w:space="0"/>
            </w:tcBorders>
            <w:vAlign w:val="center"/>
          </w:tcPr>
          <w:p w14:paraId="4A9E5442">
            <w:pPr>
              <w:rPr>
                <w:rFonts w:ascii="Times New Roman" w:hAnsi="Times New Roman" w:eastAsia="方正仿宋_GBK" w:cs="Times New Roman"/>
                <w:color w:val="000000"/>
                <w:sz w:val="22"/>
                <w:szCs w:val="22"/>
              </w:rPr>
            </w:pPr>
          </w:p>
        </w:tc>
        <w:tc>
          <w:tcPr>
            <w:tcW w:w="675" w:type="dxa"/>
            <w:tcBorders>
              <w:top w:val="single" w:color="000000" w:sz="4" w:space="0"/>
              <w:left w:val="nil"/>
              <w:bottom w:val="single" w:color="000000" w:sz="4" w:space="0"/>
              <w:right w:val="single" w:color="000000" w:sz="4" w:space="0"/>
            </w:tcBorders>
            <w:noWrap/>
            <w:vAlign w:val="center"/>
          </w:tcPr>
          <w:p w14:paraId="2773258D">
            <w:pPr>
              <w:jc w:val="center"/>
              <w:rPr>
                <w:rFonts w:ascii="Times New Roman" w:hAnsi="Times New Roman" w:eastAsia="方正仿宋_GBK" w:cs="Times New Roman"/>
                <w:color w:val="000000"/>
                <w:sz w:val="22"/>
                <w:szCs w:val="22"/>
              </w:rPr>
            </w:pPr>
            <w:r>
              <w:rPr>
                <w:rFonts w:hint="eastAsia" w:ascii="方正仿宋_GBK" w:eastAsia="方正仿宋_GBK"/>
                <w:color w:val="000000"/>
                <w:sz w:val="22"/>
                <w:szCs w:val="22"/>
              </w:rPr>
              <w:t>服务对象满意度</w:t>
            </w:r>
          </w:p>
        </w:tc>
        <w:tc>
          <w:tcPr>
            <w:tcW w:w="720" w:type="dxa"/>
            <w:tcBorders>
              <w:top w:val="single" w:color="000000" w:sz="4" w:space="0"/>
              <w:left w:val="nil"/>
              <w:bottom w:val="single" w:color="000000" w:sz="4" w:space="0"/>
              <w:right w:val="single" w:color="000000" w:sz="4" w:space="0"/>
            </w:tcBorders>
            <w:noWrap/>
            <w:vAlign w:val="center"/>
          </w:tcPr>
          <w:p w14:paraId="6C17788E">
            <w:pPr>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w:t>
            </w:r>
          </w:p>
        </w:tc>
        <w:tc>
          <w:tcPr>
            <w:tcW w:w="915" w:type="dxa"/>
            <w:tcBorders>
              <w:top w:val="single" w:color="000000" w:sz="4" w:space="0"/>
              <w:left w:val="nil"/>
              <w:bottom w:val="single" w:color="000000" w:sz="4" w:space="0"/>
              <w:right w:val="single" w:color="000000" w:sz="4" w:space="0"/>
            </w:tcBorders>
            <w:noWrap/>
            <w:vAlign w:val="center"/>
          </w:tcPr>
          <w:p w14:paraId="3A68A8D8">
            <w:pPr>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90</w:t>
            </w:r>
          </w:p>
        </w:tc>
        <w:tc>
          <w:tcPr>
            <w:tcW w:w="690" w:type="dxa"/>
            <w:tcBorders>
              <w:top w:val="single" w:color="000000" w:sz="4" w:space="0"/>
              <w:left w:val="nil"/>
              <w:bottom w:val="single" w:color="000000" w:sz="4" w:space="0"/>
              <w:right w:val="single" w:color="000000" w:sz="4" w:space="0"/>
            </w:tcBorders>
            <w:noWrap/>
            <w:vAlign w:val="center"/>
          </w:tcPr>
          <w:p w14:paraId="42964B60">
            <w:pPr>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w:t>
            </w:r>
          </w:p>
        </w:tc>
        <w:tc>
          <w:tcPr>
            <w:tcW w:w="705" w:type="dxa"/>
            <w:tcBorders>
              <w:top w:val="single" w:color="000000" w:sz="4" w:space="0"/>
              <w:left w:val="nil"/>
              <w:bottom w:val="single" w:color="000000" w:sz="4" w:space="0"/>
              <w:right w:val="single" w:color="000000" w:sz="4" w:space="0"/>
            </w:tcBorders>
            <w:noWrap/>
            <w:vAlign w:val="center"/>
          </w:tcPr>
          <w:p w14:paraId="117D4F87">
            <w:pPr>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10</w:t>
            </w:r>
          </w:p>
        </w:tc>
        <w:tc>
          <w:tcPr>
            <w:tcW w:w="945" w:type="dxa"/>
            <w:tcBorders>
              <w:top w:val="single" w:color="000000" w:sz="4" w:space="0"/>
              <w:left w:val="nil"/>
              <w:bottom w:val="single" w:color="000000" w:sz="4" w:space="0"/>
              <w:right w:val="single" w:color="000000" w:sz="4" w:space="0"/>
            </w:tcBorders>
            <w:noWrap/>
            <w:vAlign w:val="center"/>
          </w:tcPr>
          <w:p w14:paraId="51C649A6">
            <w:pPr>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90</w:t>
            </w:r>
          </w:p>
        </w:tc>
        <w:tc>
          <w:tcPr>
            <w:tcW w:w="780" w:type="dxa"/>
            <w:tcBorders>
              <w:top w:val="single" w:color="000000" w:sz="4" w:space="0"/>
              <w:left w:val="nil"/>
              <w:bottom w:val="single" w:color="000000" w:sz="4" w:space="0"/>
              <w:right w:val="single" w:color="000000" w:sz="4" w:space="0"/>
            </w:tcBorders>
            <w:noWrap/>
            <w:vAlign w:val="center"/>
          </w:tcPr>
          <w:p w14:paraId="2998410C">
            <w:pPr>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10</w:t>
            </w:r>
          </w:p>
        </w:tc>
        <w:tc>
          <w:tcPr>
            <w:tcW w:w="795" w:type="dxa"/>
            <w:tcBorders>
              <w:top w:val="single" w:color="000000" w:sz="4" w:space="0"/>
              <w:left w:val="nil"/>
              <w:bottom w:val="single" w:color="000000" w:sz="4" w:space="0"/>
              <w:right w:val="single" w:color="000000" w:sz="4" w:space="0"/>
            </w:tcBorders>
            <w:noWrap/>
            <w:vAlign w:val="center"/>
          </w:tcPr>
          <w:p w14:paraId="5CE82A65">
            <w:pPr>
              <w:jc w:val="center"/>
              <w:rPr>
                <w:rFonts w:ascii="Times New Roman" w:hAnsi="Times New Roman" w:eastAsia="方正仿宋_GBK" w:cs="Times New Roman"/>
                <w:color w:val="000000"/>
                <w:sz w:val="22"/>
                <w:szCs w:val="22"/>
              </w:rPr>
            </w:pPr>
          </w:p>
        </w:tc>
        <w:tc>
          <w:tcPr>
            <w:tcW w:w="780" w:type="dxa"/>
            <w:vMerge w:val="continue"/>
            <w:tcBorders>
              <w:top w:val="nil"/>
              <w:left w:val="nil"/>
              <w:bottom w:val="single" w:color="000000" w:sz="4" w:space="0"/>
              <w:right w:val="single" w:color="000000" w:sz="4" w:space="0"/>
            </w:tcBorders>
            <w:vAlign w:val="center"/>
          </w:tcPr>
          <w:p w14:paraId="282FF79E">
            <w:pPr>
              <w:rPr>
                <w:rFonts w:ascii="Times New Roman" w:hAnsi="Times New Roman" w:eastAsia="方正仿宋_GBK" w:cs="Times New Roman"/>
                <w:color w:val="000000"/>
                <w:sz w:val="22"/>
                <w:szCs w:val="22"/>
              </w:rPr>
            </w:pPr>
          </w:p>
        </w:tc>
      </w:tr>
      <w:tr w14:paraId="488534AE">
        <w:tblPrEx>
          <w:tblCellMar>
            <w:top w:w="0" w:type="dxa"/>
            <w:left w:w="108" w:type="dxa"/>
            <w:bottom w:w="0" w:type="dxa"/>
            <w:right w:w="108" w:type="dxa"/>
          </w:tblCellMar>
        </w:tblPrEx>
        <w:trPr>
          <w:trHeight w:val="432" w:hRule="atLeast"/>
        </w:trPr>
        <w:tc>
          <w:tcPr>
            <w:tcW w:w="8355" w:type="dxa"/>
            <w:vMerge w:val="continue"/>
            <w:tcBorders>
              <w:top w:val="nil"/>
              <w:left w:val="single" w:color="000000" w:sz="4" w:space="0"/>
              <w:bottom w:val="nil"/>
              <w:right w:val="single" w:color="000000" w:sz="4" w:space="0"/>
            </w:tcBorders>
            <w:vAlign w:val="center"/>
          </w:tcPr>
          <w:p w14:paraId="1B94F039">
            <w:pPr>
              <w:rPr>
                <w:rFonts w:ascii="Times New Roman" w:hAnsi="Times New Roman" w:eastAsia="方正仿宋_GBK" w:cs="Times New Roman"/>
                <w:color w:val="000000"/>
                <w:sz w:val="22"/>
                <w:szCs w:val="22"/>
              </w:rPr>
            </w:pPr>
          </w:p>
        </w:tc>
        <w:tc>
          <w:tcPr>
            <w:tcW w:w="750" w:type="dxa"/>
            <w:vMerge w:val="continue"/>
            <w:tcBorders>
              <w:top w:val="nil"/>
              <w:left w:val="nil"/>
              <w:bottom w:val="single" w:color="000000" w:sz="4" w:space="0"/>
              <w:right w:val="single" w:color="000000" w:sz="4" w:space="0"/>
            </w:tcBorders>
            <w:vAlign w:val="center"/>
          </w:tcPr>
          <w:p w14:paraId="4B823411">
            <w:pPr>
              <w:rPr>
                <w:rFonts w:ascii="Times New Roman" w:hAnsi="Times New Roman" w:eastAsia="方正仿宋_GBK" w:cs="Times New Roman"/>
                <w:color w:val="000000"/>
                <w:sz w:val="22"/>
                <w:szCs w:val="22"/>
              </w:rPr>
            </w:pPr>
          </w:p>
        </w:tc>
        <w:tc>
          <w:tcPr>
            <w:tcW w:w="675" w:type="dxa"/>
            <w:tcBorders>
              <w:top w:val="single" w:color="000000" w:sz="4" w:space="0"/>
              <w:left w:val="nil"/>
              <w:bottom w:val="single" w:color="000000" w:sz="4" w:space="0"/>
              <w:right w:val="single" w:color="000000" w:sz="4" w:space="0"/>
            </w:tcBorders>
            <w:noWrap/>
            <w:vAlign w:val="center"/>
          </w:tcPr>
          <w:p w14:paraId="2C7E0C99">
            <w:pPr>
              <w:jc w:val="center"/>
              <w:rPr>
                <w:rFonts w:ascii="Times New Roman" w:hAnsi="Times New Roman" w:eastAsia="方正仿宋_GBK" w:cs="Times New Roman"/>
                <w:color w:val="000000"/>
                <w:sz w:val="22"/>
                <w:szCs w:val="22"/>
              </w:rPr>
            </w:pPr>
            <w:r>
              <w:rPr>
                <w:rFonts w:hint="eastAsia" w:ascii="方正仿宋_GBK" w:eastAsia="方正仿宋_GBK"/>
                <w:color w:val="000000"/>
                <w:sz w:val="22"/>
                <w:szCs w:val="22"/>
              </w:rPr>
              <w:t>执行率</w:t>
            </w:r>
          </w:p>
        </w:tc>
        <w:tc>
          <w:tcPr>
            <w:tcW w:w="720" w:type="dxa"/>
            <w:tcBorders>
              <w:top w:val="single" w:color="000000" w:sz="4" w:space="0"/>
              <w:left w:val="nil"/>
              <w:bottom w:val="single" w:color="000000" w:sz="4" w:space="0"/>
              <w:right w:val="single" w:color="000000" w:sz="4" w:space="0"/>
            </w:tcBorders>
            <w:noWrap/>
            <w:vAlign w:val="center"/>
          </w:tcPr>
          <w:p w14:paraId="0F56C42B">
            <w:pPr>
              <w:jc w:val="center"/>
              <w:textAlignment w:val="center"/>
              <w:rPr>
                <w:rFonts w:ascii="Times New Roman" w:hAnsi="Times New Roman" w:eastAsia="方正仿宋_GBK" w:cs="Times New Roman"/>
                <w:color w:val="000000"/>
                <w:sz w:val="22"/>
                <w:szCs w:val="22"/>
              </w:rPr>
            </w:pPr>
            <w:r>
              <w:rPr>
                <w:rFonts w:hint="eastAsia" w:ascii="方正仿宋_GBK" w:eastAsia="方正仿宋_GBK"/>
                <w:color w:val="000000"/>
                <w:sz w:val="22"/>
                <w:szCs w:val="22"/>
              </w:rPr>
              <w:t>＝</w:t>
            </w:r>
          </w:p>
        </w:tc>
        <w:tc>
          <w:tcPr>
            <w:tcW w:w="915" w:type="dxa"/>
            <w:tcBorders>
              <w:top w:val="single" w:color="000000" w:sz="4" w:space="0"/>
              <w:left w:val="nil"/>
              <w:bottom w:val="single" w:color="000000" w:sz="4" w:space="0"/>
              <w:right w:val="single" w:color="000000" w:sz="4" w:space="0"/>
            </w:tcBorders>
            <w:noWrap/>
            <w:vAlign w:val="center"/>
          </w:tcPr>
          <w:p w14:paraId="13C8C3C0">
            <w:pPr>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100</w:t>
            </w:r>
          </w:p>
        </w:tc>
        <w:tc>
          <w:tcPr>
            <w:tcW w:w="690" w:type="dxa"/>
            <w:tcBorders>
              <w:top w:val="single" w:color="000000" w:sz="4" w:space="0"/>
              <w:left w:val="nil"/>
              <w:bottom w:val="single" w:color="000000" w:sz="4" w:space="0"/>
              <w:right w:val="single" w:color="000000" w:sz="4" w:space="0"/>
            </w:tcBorders>
            <w:noWrap/>
            <w:vAlign w:val="center"/>
          </w:tcPr>
          <w:p w14:paraId="555FC14D">
            <w:pPr>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w:t>
            </w:r>
          </w:p>
        </w:tc>
        <w:tc>
          <w:tcPr>
            <w:tcW w:w="705" w:type="dxa"/>
            <w:tcBorders>
              <w:top w:val="single" w:color="000000" w:sz="4" w:space="0"/>
              <w:left w:val="nil"/>
              <w:bottom w:val="single" w:color="000000" w:sz="4" w:space="0"/>
              <w:right w:val="single" w:color="000000" w:sz="4" w:space="0"/>
            </w:tcBorders>
            <w:noWrap/>
            <w:vAlign w:val="center"/>
          </w:tcPr>
          <w:p w14:paraId="7803ABC6">
            <w:pPr>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10</w:t>
            </w:r>
          </w:p>
        </w:tc>
        <w:tc>
          <w:tcPr>
            <w:tcW w:w="945" w:type="dxa"/>
            <w:tcBorders>
              <w:top w:val="single" w:color="000000" w:sz="4" w:space="0"/>
              <w:left w:val="nil"/>
              <w:bottom w:val="single" w:color="000000" w:sz="4" w:space="0"/>
              <w:right w:val="single" w:color="000000" w:sz="4" w:space="0"/>
            </w:tcBorders>
            <w:noWrap/>
            <w:vAlign w:val="center"/>
          </w:tcPr>
          <w:p w14:paraId="1A669BF0">
            <w:pPr>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94</w:t>
            </w:r>
          </w:p>
        </w:tc>
        <w:tc>
          <w:tcPr>
            <w:tcW w:w="780" w:type="dxa"/>
            <w:tcBorders>
              <w:top w:val="single" w:color="000000" w:sz="4" w:space="0"/>
              <w:left w:val="nil"/>
              <w:bottom w:val="single" w:color="000000" w:sz="4" w:space="0"/>
              <w:right w:val="single" w:color="000000" w:sz="4" w:space="0"/>
            </w:tcBorders>
            <w:noWrap/>
            <w:vAlign w:val="center"/>
          </w:tcPr>
          <w:p w14:paraId="63E18AAA">
            <w:pPr>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9.4</w:t>
            </w:r>
          </w:p>
        </w:tc>
        <w:tc>
          <w:tcPr>
            <w:tcW w:w="795" w:type="dxa"/>
            <w:tcBorders>
              <w:top w:val="single" w:color="000000" w:sz="4" w:space="0"/>
              <w:left w:val="nil"/>
              <w:bottom w:val="single" w:color="000000" w:sz="4" w:space="0"/>
              <w:right w:val="single" w:color="000000" w:sz="4" w:space="0"/>
            </w:tcBorders>
            <w:noWrap/>
            <w:vAlign w:val="center"/>
          </w:tcPr>
          <w:p w14:paraId="60756C95">
            <w:pPr>
              <w:jc w:val="center"/>
              <w:rPr>
                <w:rFonts w:ascii="Times New Roman" w:hAnsi="Times New Roman" w:eastAsia="方正仿宋_GBK" w:cs="Times New Roman"/>
                <w:color w:val="000000"/>
                <w:sz w:val="22"/>
                <w:szCs w:val="22"/>
              </w:rPr>
            </w:pPr>
          </w:p>
        </w:tc>
        <w:tc>
          <w:tcPr>
            <w:tcW w:w="780" w:type="dxa"/>
            <w:vMerge w:val="continue"/>
            <w:tcBorders>
              <w:top w:val="nil"/>
              <w:left w:val="nil"/>
              <w:bottom w:val="single" w:color="000000" w:sz="4" w:space="0"/>
              <w:right w:val="single" w:color="000000" w:sz="4" w:space="0"/>
            </w:tcBorders>
            <w:vAlign w:val="center"/>
          </w:tcPr>
          <w:p w14:paraId="2B89BEDF">
            <w:pPr>
              <w:rPr>
                <w:rFonts w:ascii="Times New Roman" w:hAnsi="Times New Roman" w:eastAsia="方正仿宋_GBK" w:cs="Times New Roman"/>
                <w:color w:val="000000"/>
                <w:sz w:val="22"/>
                <w:szCs w:val="22"/>
              </w:rPr>
            </w:pPr>
          </w:p>
        </w:tc>
      </w:tr>
      <w:tr w14:paraId="22B8EDF6">
        <w:tblPrEx>
          <w:tblCellMar>
            <w:top w:w="0" w:type="dxa"/>
            <w:left w:w="108" w:type="dxa"/>
            <w:bottom w:w="0" w:type="dxa"/>
            <w:right w:w="108" w:type="dxa"/>
          </w:tblCellMar>
        </w:tblPrEx>
        <w:trPr>
          <w:trHeight w:val="432" w:hRule="atLeast"/>
        </w:trPr>
        <w:tc>
          <w:tcPr>
            <w:tcW w:w="8355" w:type="dxa"/>
            <w:vMerge w:val="continue"/>
            <w:tcBorders>
              <w:top w:val="nil"/>
              <w:left w:val="single" w:color="000000" w:sz="4" w:space="0"/>
              <w:bottom w:val="nil"/>
              <w:right w:val="single" w:color="000000" w:sz="4" w:space="0"/>
            </w:tcBorders>
            <w:vAlign w:val="center"/>
          </w:tcPr>
          <w:p w14:paraId="51F0A168">
            <w:pPr>
              <w:rPr>
                <w:rFonts w:ascii="Times New Roman" w:hAnsi="Times New Roman" w:eastAsia="方正仿宋_GBK" w:cs="Times New Roman"/>
                <w:color w:val="000000"/>
                <w:sz w:val="22"/>
                <w:szCs w:val="22"/>
              </w:rPr>
            </w:pPr>
          </w:p>
        </w:tc>
        <w:tc>
          <w:tcPr>
            <w:tcW w:w="750" w:type="dxa"/>
            <w:vMerge w:val="continue"/>
            <w:tcBorders>
              <w:top w:val="nil"/>
              <w:left w:val="nil"/>
              <w:bottom w:val="single" w:color="000000" w:sz="4" w:space="0"/>
              <w:right w:val="single" w:color="000000" w:sz="4" w:space="0"/>
            </w:tcBorders>
            <w:vAlign w:val="center"/>
          </w:tcPr>
          <w:p w14:paraId="73FD9BBC">
            <w:pPr>
              <w:rPr>
                <w:rFonts w:ascii="Times New Roman" w:hAnsi="Times New Roman" w:eastAsia="方正仿宋_GBK" w:cs="Times New Roman"/>
                <w:color w:val="000000"/>
                <w:sz w:val="22"/>
                <w:szCs w:val="22"/>
              </w:rPr>
            </w:pPr>
          </w:p>
        </w:tc>
        <w:tc>
          <w:tcPr>
            <w:tcW w:w="675" w:type="dxa"/>
            <w:tcBorders>
              <w:top w:val="single" w:color="000000" w:sz="4" w:space="0"/>
              <w:left w:val="nil"/>
              <w:bottom w:val="single" w:color="000000" w:sz="4" w:space="0"/>
              <w:right w:val="single" w:color="000000" w:sz="4" w:space="0"/>
            </w:tcBorders>
            <w:noWrap/>
            <w:vAlign w:val="center"/>
          </w:tcPr>
          <w:p w14:paraId="2518448F">
            <w:pPr>
              <w:jc w:val="center"/>
              <w:rPr>
                <w:rFonts w:ascii="Times New Roman" w:hAnsi="Times New Roman" w:eastAsia="方正仿宋_GBK" w:cs="Times New Roman"/>
                <w:color w:val="000000"/>
                <w:sz w:val="22"/>
                <w:szCs w:val="22"/>
              </w:rPr>
            </w:pPr>
          </w:p>
        </w:tc>
        <w:tc>
          <w:tcPr>
            <w:tcW w:w="720" w:type="dxa"/>
            <w:tcBorders>
              <w:top w:val="single" w:color="000000" w:sz="4" w:space="0"/>
              <w:left w:val="nil"/>
              <w:bottom w:val="single" w:color="000000" w:sz="4" w:space="0"/>
              <w:right w:val="single" w:color="000000" w:sz="4" w:space="0"/>
            </w:tcBorders>
            <w:noWrap/>
            <w:vAlign w:val="center"/>
          </w:tcPr>
          <w:p w14:paraId="795D6213">
            <w:pPr>
              <w:jc w:val="center"/>
              <w:rPr>
                <w:rFonts w:ascii="Times New Roman" w:hAnsi="Times New Roman" w:eastAsia="方正仿宋_GBK" w:cs="Times New Roman"/>
                <w:color w:val="000000"/>
                <w:sz w:val="22"/>
                <w:szCs w:val="22"/>
              </w:rPr>
            </w:pPr>
          </w:p>
        </w:tc>
        <w:tc>
          <w:tcPr>
            <w:tcW w:w="915" w:type="dxa"/>
            <w:tcBorders>
              <w:top w:val="single" w:color="000000" w:sz="4" w:space="0"/>
              <w:left w:val="nil"/>
              <w:bottom w:val="single" w:color="000000" w:sz="4" w:space="0"/>
              <w:right w:val="single" w:color="000000" w:sz="4" w:space="0"/>
            </w:tcBorders>
            <w:noWrap/>
            <w:vAlign w:val="center"/>
          </w:tcPr>
          <w:p w14:paraId="4B7188C4">
            <w:pPr>
              <w:jc w:val="center"/>
              <w:rPr>
                <w:rFonts w:ascii="Times New Roman" w:hAnsi="Times New Roman" w:eastAsia="方正仿宋_GBK" w:cs="Times New Roman"/>
                <w:color w:val="000000"/>
                <w:sz w:val="22"/>
                <w:szCs w:val="22"/>
              </w:rPr>
            </w:pPr>
          </w:p>
        </w:tc>
        <w:tc>
          <w:tcPr>
            <w:tcW w:w="690" w:type="dxa"/>
            <w:tcBorders>
              <w:top w:val="single" w:color="000000" w:sz="4" w:space="0"/>
              <w:left w:val="nil"/>
              <w:bottom w:val="single" w:color="000000" w:sz="4" w:space="0"/>
              <w:right w:val="single" w:color="000000" w:sz="4" w:space="0"/>
            </w:tcBorders>
            <w:noWrap/>
            <w:vAlign w:val="center"/>
          </w:tcPr>
          <w:p w14:paraId="2E06FC1D">
            <w:pPr>
              <w:jc w:val="center"/>
              <w:rPr>
                <w:rFonts w:ascii="Times New Roman" w:hAnsi="Times New Roman" w:eastAsia="方正仿宋_GBK" w:cs="Times New Roman"/>
                <w:color w:val="000000"/>
                <w:sz w:val="22"/>
                <w:szCs w:val="22"/>
              </w:rPr>
            </w:pPr>
          </w:p>
        </w:tc>
        <w:tc>
          <w:tcPr>
            <w:tcW w:w="705" w:type="dxa"/>
            <w:tcBorders>
              <w:top w:val="single" w:color="000000" w:sz="4" w:space="0"/>
              <w:left w:val="nil"/>
              <w:bottom w:val="single" w:color="000000" w:sz="4" w:space="0"/>
              <w:right w:val="single" w:color="000000" w:sz="4" w:space="0"/>
            </w:tcBorders>
            <w:noWrap/>
            <w:vAlign w:val="center"/>
          </w:tcPr>
          <w:p w14:paraId="6384B06C">
            <w:pPr>
              <w:jc w:val="center"/>
              <w:rPr>
                <w:rFonts w:ascii="Times New Roman" w:hAnsi="Times New Roman" w:eastAsia="方正仿宋_GBK" w:cs="Times New Roman"/>
                <w:color w:val="000000"/>
                <w:sz w:val="22"/>
                <w:szCs w:val="22"/>
              </w:rPr>
            </w:pPr>
          </w:p>
        </w:tc>
        <w:tc>
          <w:tcPr>
            <w:tcW w:w="945" w:type="dxa"/>
            <w:tcBorders>
              <w:top w:val="single" w:color="000000" w:sz="4" w:space="0"/>
              <w:left w:val="nil"/>
              <w:bottom w:val="single" w:color="000000" w:sz="4" w:space="0"/>
              <w:right w:val="single" w:color="000000" w:sz="4" w:space="0"/>
            </w:tcBorders>
            <w:noWrap/>
            <w:vAlign w:val="center"/>
          </w:tcPr>
          <w:p w14:paraId="3D2AD5A8">
            <w:pPr>
              <w:jc w:val="center"/>
              <w:rPr>
                <w:rFonts w:ascii="Times New Roman" w:hAnsi="Times New Roman" w:eastAsia="方正仿宋_GBK" w:cs="Times New Roman"/>
                <w:color w:val="000000"/>
                <w:sz w:val="22"/>
                <w:szCs w:val="22"/>
              </w:rPr>
            </w:pPr>
          </w:p>
        </w:tc>
        <w:tc>
          <w:tcPr>
            <w:tcW w:w="780" w:type="dxa"/>
            <w:tcBorders>
              <w:top w:val="single" w:color="000000" w:sz="4" w:space="0"/>
              <w:left w:val="nil"/>
              <w:bottom w:val="single" w:color="000000" w:sz="4" w:space="0"/>
              <w:right w:val="single" w:color="000000" w:sz="4" w:space="0"/>
            </w:tcBorders>
            <w:noWrap/>
            <w:vAlign w:val="center"/>
          </w:tcPr>
          <w:p w14:paraId="6AE4F91E">
            <w:pPr>
              <w:jc w:val="center"/>
              <w:rPr>
                <w:rFonts w:ascii="Times New Roman" w:hAnsi="Times New Roman" w:eastAsia="方正仿宋_GBK" w:cs="Times New Roman"/>
                <w:color w:val="000000"/>
                <w:sz w:val="22"/>
                <w:szCs w:val="22"/>
              </w:rPr>
            </w:pPr>
          </w:p>
        </w:tc>
        <w:tc>
          <w:tcPr>
            <w:tcW w:w="795" w:type="dxa"/>
            <w:tcBorders>
              <w:top w:val="single" w:color="000000" w:sz="4" w:space="0"/>
              <w:left w:val="nil"/>
              <w:bottom w:val="single" w:color="000000" w:sz="4" w:space="0"/>
              <w:right w:val="single" w:color="000000" w:sz="4" w:space="0"/>
            </w:tcBorders>
            <w:noWrap/>
            <w:vAlign w:val="center"/>
          </w:tcPr>
          <w:p w14:paraId="05774067">
            <w:pPr>
              <w:rPr>
                <w:rFonts w:ascii="Times New Roman" w:hAnsi="Times New Roman" w:eastAsia="方正仿宋_GBK" w:cs="Times New Roman"/>
                <w:color w:val="000000"/>
                <w:sz w:val="22"/>
                <w:szCs w:val="22"/>
              </w:rPr>
            </w:pPr>
          </w:p>
        </w:tc>
        <w:tc>
          <w:tcPr>
            <w:tcW w:w="780" w:type="dxa"/>
            <w:vMerge w:val="continue"/>
            <w:tcBorders>
              <w:top w:val="nil"/>
              <w:left w:val="nil"/>
              <w:bottom w:val="single" w:color="000000" w:sz="4" w:space="0"/>
              <w:right w:val="single" w:color="000000" w:sz="4" w:space="0"/>
            </w:tcBorders>
            <w:vAlign w:val="center"/>
          </w:tcPr>
          <w:p w14:paraId="659210F0">
            <w:pPr>
              <w:rPr>
                <w:rFonts w:ascii="Times New Roman" w:hAnsi="Times New Roman" w:eastAsia="方正仿宋_GBK" w:cs="Times New Roman"/>
                <w:color w:val="000000"/>
                <w:sz w:val="22"/>
                <w:szCs w:val="22"/>
              </w:rPr>
            </w:pPr>
          </w:p>
        </w:tc>
      </w:tr>
      <w:tr w14:paraId="6A320E6E">
        <w:tblPrEx>
          <w:tblCellMar>
            <w:top w:w="0" w:type="dxa"/>
            <w:left w:w="108" w:type="dxa"/>
            <w:bottom w:w="0" w:type="dxa"/>
            <w:right w:w="108" w:type="dxa"/>
          </w:tblCellMar>
        </w:tblPrEx>
        <w:trPr>
          <w:trHeight w:val="432" w:hRule="atLeast"/>
        </w:trPr>
        <w:tc>
          <w:tcPr>
            <w:tcW w:w="8355" w:type="dxa"/>
            <w:vMerge w:val="continue"/>
            <w:tcBorders>
              <w:top w:val="nil"/>
              <w:left w:val="single" w:color="000000" w:sz="4" w:space="0"/>
              <w:bottom w:val="nil"/>
              <w:right w:val="single" w:color="000000" w:sz="4" w:space="0"/>
            </w:tcBorders>
            <w:vAlign w:val="center"/>
          </w:tcPr>
          <w:p w14:paraId="4FC938DD">
            <w:pPr>
              <w:rPr>
                <w:rFonts w:ascii="Times New Roman" w:hAnsi="Times New Roman" w:eastAsia="方正仿宋_GBK" w:cs="Times New Roman"/>
                <w:color w:val="000000"/>
                <w:sz w:val="22"/>
                <w:szCs w:val="22"/>
              </w:rPr>
            </w:pPr>
          </w:p>
        </w:tc>
        <w:tc>
          <w:tcPr>
            <w:tcW w:w="750" w:type="dxa"/>
            <w:vMerge w:val="continue"/>
            <w:tcBorders>
              <w:top w:val="nil"/>
              <w:left w:val="nil"/>
              <w:bottom w:val="single" w:color="000000" w:sz="4" w:space="0"/>
              <w:right w:val="single" w:color="000000" w:sz="4" w:space="0"/>
            </w:tcBorders>
            <w:vAlign w:val="center"/>
          </w:tcPr>
          <w:p w14:paraId="204F5FD4">
            <w:pPr>
              <w:rPr>
                <w:rFonts w:ascii="Times New Roman" w:hAnsi="Times New Roman" w:eastAsia="方正仿宋_GBK" w:cs="Times New Roman"/>
                <w:color w:val="000000"/>
                <w:sz w:val="22"/>
                <w:szCs w:val="22"/>
              </w:rPr>
            </w:pPr>
          </w:p>
        </w:tc>
        <w:tc>
          <w:tcPr>
            <w:tcW w:w="675" w:type="dxa"/>
            <w:tcBorders>
              <w:top w:val="single" w:color="000000" w:sz="4" w:space="0"/>
              <w:left w:val="nil"/>
              <w:bottom w:val="single" w:color="000000" w:sz="4" w:space="0"/>
              <w:right w:val="single" w:color="000000" w:sz="4" w:space="0"/>
            </w:tcBorders>
            <w:noWrap/>
            <w:vAlign w:val="center"/>
          </w:tcPr>
          <w:p w14:paraId="0B44B6E3">
            <w:pPr>
              <w:jc w:val="center"/>
              <w:rPr>
                <w:rFonts w:ascii="Times New Roman" w:hAnsi="Times New Roman" w:eastAsia="方正仿宋_GBK" w:cs="Times New Roman"/>
                <w:color w:val="000000"/>
                <w:sz w:val="22"/>
                <w:szCs w:val="22"/>
              </w:rPr>
            </w:pPr>
          </w:p>
        </w:tc>
        <w:tc>
          <w:tcPr>
            <w:tcW w:w="720" w:type="dxa"/>
            <w:tcBorders>
              <w:top w:val="single" w:color="000000" w:sz="4" w:space="0"/>
              <w:left w:val="nil"/>
              <w:bottom w:val="single" w:color="000000" w:sz="4" w:space="0"/>
              <w:right w:val="single" w:color="000000" w:sz="4" w:space="0"/>
            </w:tcBorders>
            <w:noWrap/>
            <w:vAlign w:val="center"/>
          </w:tcPr>
          <w:p w14:paraId="169686E8">
            <w:pPr>
              <w:jc w:val="center"/>
              <w:rPr>
                <w:rFonts w:ascii="Times New Roman" w:hAnsi="Times New Roman" w:eastAsia="方正仿宋_GBK" w:cs="Times New Roman"/>
                <w:color w:val="000000"/>
                <w:sz w:val="22"/>
                <w:szCs w:val="22"/>
              </w:rPr>
            </w:pPr>
          </w:p>
        </w:tc>
        <w:tc>
          <w:tcPr>
            <w:tcW w:w="915" w:type="dxa"/>
            <w:tcBorders>
              <w:top w:val="single" w:color="000000" w:sz="4" w:space="0"/>
              <w:left w:val="nil"/>
              <w:bottom w:val="single" w:color="000000" w:sz="4" w:space="0"/>
              <w:right w:val="single" w:color="000000" w:sz="4" w:space="0"/>
            </w:tcBorders>
            <w:noWrap/>
            <w:vAlign w:val="center"/>
          </w:tcPr>
          <w:p w14:paraId="68A27B74">
            <w:pPr>
              <w:jc w:val="center"/>
              <w:rPr>
                <w:rFonts w:ascii="Times New Roman" w:hAnsi="Times New Roman" w:eastAsia="方正仿宋_GBK" w:cs="Times New Roman"/>
                <w:color w:val="000000"/>
                <w:sz w:val="22"/>
                <w:szCs w:val="22"/>
              </w:rPr>
            </w:pPr>
          </w:p>
        </w:tc>
        <w:tc>
          <w:tcPr>
            <w:tcW w:w="690" w:type="dxa"/>
            <w:tcBorders>
              <w:top w:val="single" w:color="000000" w:sz="4" w:space="0"/>
              <w:left w:val="nil"/>
              <w:bottom w:val="single" w:color="000000" w:sz="4" w:space="0"/>
              <w:right w:val="single" w:color="000000" w:sz="4" w:space="0"/>
            </w:tcBorders>
            <w:noWrap/>
            <w:vAlign w:val="center"/>
          </w:tcPr>
          <w:p w14:paraId="7F8C09CC">
            <w:pPr>
              <w:jc w:val="center"/>
              <w:rPr>
                <w:rFonts w:ascii="Times New Roman" w:hAnsi="Times New Roman" w:eastAsia="方正仿宋_GBK" w:cs="Times New Roman"/>
                <w:color w:val="000000"/>
                <w:sz w:val="22"/>
                <w:szCs w:val="22"/>
              </w:rPr>
            </w:pPr>
          </w:p>
        </w:tc>
        <w:tc>
          <w:tcPr>
            <w:tcW w:w="705" w:type="dxa"/>
            <w:tcBorders>
              <w:top w:val="single" w:color="000000" w:sz="4" w:space="0"/>
              <w:left w:val="nil"/>
              <w:bottom w:val="single" w:color="000000" w:sz="4" w:space="0"/>
              <w:right w:val="single" w:color="000000" w:sz="4" w:space="0"/>
            </w:tcBorders>
            <w:noWrap/>
            <w:vAlign w:val="center"/>
          </w:tcPr>
          <w:p w14:paraId="272A044B">
            <w:pPr>
              <w:jc w:val="center"/>
              <w:rPr>
                <w:rFonts w:ascii="Times New Roman" w:hAnsi="Times New Roman" w:eastAsia="方正仿宋_GBK" w:cs="Times New Roman"/>
                <w:color w:val="000000"/>
                <w:sz w:val="22"/>
                <w:szCs w:val="22"/>
              </w:rPr>
            </w:pPr>
          </w:p>
        </w:tc>
        <w:tc>
          <w:tcPr>
            <w:tcW w:w="945" w:type="dxa"/>
            <w:tcBorders>
              <w:top w:val="single" w:color="000000" w:sz="4" w:space="0"/>
              <w:left w:val="nil"/>
              <w:bottom w:val="single" w:color="000000" w:sz="4" w:space="0"/>
              <w:right w:val="single" w:color="000000" w:sz="4" w:space="0"/>
            </w:tcBorders>
            <w:noWrap/>
            <w:vAlign w:val="center"/>
          </w:tcPr>
          <w:p w14:paraId="4B0AD164">
            <w:pPr>
              <w:jc w:val="center"/>
              <w:rPr>
                <w:rFonts w:ascii="Times New Roman" w:hAnsi="Times New Roman" w:eastAsia="方正仿宋_GBK" w:cs="Times New Roman"/>
                <w:color w:val="000000"/>
                <w:sz w:val="22"/>
                <w:szCs w:val="22"/>
              </w:rPr>
            </w:pPr>
          </w:p>
        </w:tc>
        <w:tc>
          <w:tcPr>
            <w:tcW w:w="780" w:type="dxa"/>
            <w:tcBorders>
              <w:top w:val="single" w:color="000000" w:sz="4" w:space="0"/>
              <w:left w:val="nil"/>
              <w:bottom w:val="single" w:color="000000" w:sz="4" w:space="0"/>
              <w:right w:val="single" w:color="000000" w:sz="4" w:space="0"/>
            </w:tcBorders>
            <w:noWrap/>
            <w:vAlign w:val="center"/>
          </w:tcPr>
          <w:p w14:paraId="0EE14E0D">
            <w:pPr>
              <w:jc w:val="center"/>
              <w:rPr>
                <w:rFonts w:ascii="Times New Roman" w:hAnsi="Times New Roman" w:eastAsia="方正仿宋_GBK" w:cs="Times New Roman"/>
                <w:color w:val="000000"/>
                <w:sz w:val="22"/>
                <w:szCs w:val="22"/>
              </w:rPr>
            </w:pPr>
          </w:p>
        </w:tc>
        <w:tc>
          <w:tcPr>
            <w:tcW w:w="795" w:type="dxa"/>
            <w:tcBorders>
              <w:top w:val="single" w:color="000000" w:sz="4" w:space="0"/>
              <w:left w:val="nil"/>
              <w:bottom w:val="single" w:color="000000" w:sz="4" w:space="0"/>
              <w:right w:val="single" w:color="000000" w:sz="4" w:space="0"/>
            </w:tcBorders>
            <w:noWrap/>
            <w:vAlign w:val="center"/>
          </w:tcPr>
          <w:p w14:paraId="148AD74B">
            <w:pPr>
              <w:rPr>
                <w:rFonts w:ascii="Times New Roman" w:hAnsi="Times New Roman" w:eastAsia="方正仿宋_GBK" w:cs="Times New Roman"/>
                <w:color w:val="000000"/>
                <w:sz w:val="22"/>
                <w:szCs w:val="22"/>
              </w:rPr>
            </w:pPr>
          </w:p>
        </w:tc>
        <w:tc>
          <w:tcPr>
            <w:tcW w:w="780" w:type="dxa"/>
            <w:vMerge w:val="continue"/>
            <w:tcBorders>
              <w:top w:val="nil"/>
              <w:left w:val="nil"/>
              <w:bottom w:val="single" w:color="000000" w:sz="4" w:space="0"/>
              <w:right w:val="single" w:color="000000" w:sz="4" w:space="0"/>
            </w:tcBorders>
            <w:vAlign w:val="center"/>
          </w:tcPr>
          <w:p w14:paraId="29E33928">
            <w:pPr>
              <w:rPr>
                <w:rFonts w:ascii="Times New Roman" w:hAnsi="Times New Roman" w:eastAsia="方正仿宋_GBK" w:cs="Times New Roman"/>
                <w:color w:val="000000"/>
                <w:sz w:val="22"/>
                <w:szCs w:val="22"/>
              </w:rPr>
            </w:pPr>
          </w:p>
        </w:tc>
      </w:tr>
      <w:tr w14:paraId="7E4941F3">
        <w:tblPrEx>
          <w:tblCellMar>
            <w:top w:w="0" w:type="dxa"/>
            <w:left w:w="108" w:type="dxa"/>
            <w:bottom w:w="0" w:type="dxa"/>
            <w:right w:w="108" w:type="dxa"/>
          </w:tblCellMar>
        </w:tblPrEx>
        <w:trPr>
          <w:trHeight w:val="432" w:hRule="atLeast"/>
        </w:trPr>
        <w:tc>
          <w:tcPr>
            <w:tcW w:w="8355" w:type="dxa"/>
            <w:vMerge w:val="continue"/>
            <w:tcBorders>
              <w:top w:val="nil"/>
              <w:left w:val="single" w:color="000000" w:sz="4" w:space="0"/>
              <w:bottom w:val="nil"/>
              <w:right w:val="single" w:color="000000" w:sz="4" w:space="0"/>
            </w:tcBorders>
            <w:vAlign w:val="center"/>
          </w:tcPr>
          <w:p w14:paraId="48558302">
            <w:pPr>
              <w:rPr>
                <w:rFonts w:ascii="Times New Roman" w:hAnsi="Times New Roman" w:eastAsia="方正仿宋_GBK" w:cs="Times New Roman"/>
                <w:color w:val="000000"/>
                <w:sz w:val="22"/>
                <w:szCs w:val="22"/>
              </w:rPr>
            </w:pPr>
          </w:p>
        </w:tc>
        <w:tc>
          <w:tcPr>
            <w:tcW w:w="750" w:type="dxa"/>
            <w:vMerge w:val="continue"/>
            <w:tcBorders>
              <w:top w:val="nil"/>
              <w:left w:val="nil"/>
              <w:bottom w:val="single" w:color="000000" w:sz="4" w:space="0"/>
              <w:right w:val="single" w:color="000000" w:sz="4" w:space="0"/>
            </w:tcBorders>
            <w:vAlign w:val="center"/>
          </w:tcPr>
          <w:p w14:paraId="4A5C9C9F">
            <w:pPr>
              <w:rPr>
                <w:rFonts w:ascii="Times New Roman" w:hAnsi="Times New Roman" w:eastAsia="方正仿宋_GBK" w:cs="Times New Roman"/>
                <w:color w:val="000000"/>
                <w:sz w:val="22"/>
                <w:szCs w:val="22"/>
              </w:rPr>
            </w:pPr>
          </w:p>
        </w:tc>
        <w:tc>
          <w:tcPr>
            <w:tcW w:w="675" w:type="dxa"/>
            <w:tcBorders>
              <w:top w:val="single" w:color="000000" w:sz="4" w:space="0"/>
              <w:left w:val="nil"/>
              <w:bottom w:val="single" w:color="000000" w:sz="4" w:space="0"/>
              <w:right w:val="single" w:color="000000" w:sz="4" w:space="0"/>
            </w:tcBorders>
            <w:noWrap/>
            <w:vAlign w:val="center"/>
          </w:tcPr>
          <w:p w14:paraId="2B0D9FE1">
            <w:pPr>
              <w:jc w:val="center"/>
              <w:rPr>
                <w:rFonts w:ascii="Times New Roman" w:hAnsi="Times New Roman" w:eastAsia="方正仿宋_GBK" w:cs="Times New Roman"/>
                <w:color w:val="000000"/>
                <w:sz w:val="22"/>
                <w:szCs w:val="22"/>
              </w:rPr>
            </w:pPr>
          </w:p>
        </w:tc>
        <w:tc>
          <w:tcPr>
            <w:tcW w:w="720" w:type="dxa"/>
            <w:tcBorders>
              <w:top w:val="single" w:color="000000" w:sz="4" w:space="0"/>
              <w:left w:val="nil"/>
              <w:bottom w:val="single" w:color="000000" w:sz="4" w:space="0"/>
              <w:right w:val="single" w:color="000000" w:sz="4" w:space="0"/>
            </w:tcBorders>
            <w:noWrap/>
            <w:vAlign w:val="center"/>
          </w:tcPr>
          <w:p w14:paraId="379FF195">
            <w:pPr>
              <w:jc w:val="center"/>
              <w:rPr>
                <w:rFonts w:ascii="Times New Roman" w:hAnsi="Times New Roman" w:eastAsia="方正仿宋_GBK" w:cs="Times New Roman"/>
                <w:color w:val="000000"/>
                <w:sz w:val="22"/>
                <w:szCs w:val="22"/>
              </w:rPr>
            </w:pPr>
          </w:p>
        </w:tc>
        <w:tc>
          <w:tcPr>
            <w:tcW w:w="915" w:type="dxa"/>
            <w:tcBorders>
              <w:top w:val="single" w:color="000000" w:sz="4" w:space="0"/>
              <w:left w:val="nil"/>
              <w:bottom w:val="single" w:color="000000" w:sz="4" w:space="0"/>
              <w:right w:val="single" w:color="000000" w:sz="4" w:space="0"/>
            </w:tcBorders>
            <w:noWrap/>
            <w:vAlign w:val="center"/>
          </w:tcPr>
          <w:p w14:paraId="10A147D3">
            <w:pPr>
              <w:jc w:val="center"/>
              <w:rPr>
                <w:rFonts w:ascii="Times New Roman" w:hAnsi="Times New Roman" w:eastAsia="方正仿宋_GBK" w:cs="Times New Roman"/>
                <w:color w:val="000000"/>
                <w:sz w:val="22"/>
                <w:szCs w:val="22"/>
              </w:rPr>
            </w:pPr>
          </w:p>
        </w:tc>
        <w:tc>
          <w:tcPr>
            <w:tcW w:w="690" w:type="dxa"/>
            <w:tcBorders>
              <w:top w:val="single" w:color="000000" w:sz="4" w:space="0"/>
              <w:left w:val="nil"/>
              <w:bottom w:val="single" w:color="000000" w:sz="4" w:space="0"/>
              <w:right w:val="single" w:color="000000" w:sz="4" w:space="0"/>
            </w:tcBorders>
            <w:noWrap/>
            <w:vAlign w:val="center"/>
          </w:tcPr>
          <w:p w14:paraId="1A5AE898">
            <w:pPr>
              <w:jc w:val="center"/>
              <w:rPr>
                <w:rFonts w:ascii="Times New Roman" w:hAnsi="Times New Roman" w:eastAsia="方正仿宋_GBK" w:cs="Times New Roman"/>
                <w:color w:val="000000"/>
                <w:sz w:val="22"/>
                <w:szCs w:val="22"/>
              </w:rPr>
            </w:pPr>
          </w:p>
        </w:tc>
        <w:tc>
          <w:tcPr>
            <w:tcW w:w="705" w:type="dxa"/>
            <w:tcBorders>
              <w:top w:val="single" w:color="000000" w:sz="4" w:space="0"/>
              <w:left w:val="nil"/>
              <w:bottom w:val="single" w:color="000000" w:sz="4" w:space="0"/>
              <w:right w:val="single" w:color="000000" w:sz="4" w:space="0"/>
            </w:tcBorders>
            <w:noWrap/>
            <w:vAlign w:val="center"/>
          </w:tcPr>
          <w:p w14:paraId="153EB05B">
            <w:pPr>
              <w:jc w:val="center"/>
              <w:rPr>
                <w:rFonts w:ascii="Times New Roman" w:hAnsi="Times New Roman" w:eastAsia="方正仿宋_GBK" w:cs="Times New Roman"/>
                <w:color w:val="000000"/>
                <w:sz w:val="22"/>
                <w:szCs w:val="22"/>
              </w:rPr>
            </w:pPr>
          </w:p>
        </w:tc>
        <w:tc>
          <w:tcPr>
            <w:tcW w:w="945" w:type="dxa"/>
            <w:tcBorders>
              <w:top w:val="single" w:color="000000" w:sz="4" w:space="0"/>
              <w:left w:val="nil"/>
              <w:bottom w:val="single" w:color="000000" w:sz="4" w:space="0"/>
              <w:right w:val="single" w:color="000000" w:sz="4" w:space="0"/>
            </w:tcBorders>
            <w:noWrap/>
            <w:vAlign w:val="center"/>
          </w:tcPr>
          <w:p w14:paraId="15C8D4AB">
            <w:pPr>
              <w:jc w:val="center"/>
              <w:rPr>
                <w:rFonts w:ascii="Times New Roman" w:hAnsi="Times New Roman" w:eastAsia="方正仿宋_GBK" w:cs="Times New Roman"/>
                <w:color w:val="000000"/>
                <w:sz w:val="22"/>
                <w:szCs w:val="22"/>
              </w:rPr>
            </w:pPr>
          </w:p>
        </w:tc>
        <w:tc>
          <w:tcPr>
            <w:tcW w:w="780" w:type="dxa"/>
            <w:tcBorders>
              <w:top w:val="single" w:color="000000" w:sz="4" w:space="0"/>
              <w:left w:val="nil"/>
              <w:bottom w:val="single" w:color="000000" w:sz="4" w:space="0"/>
              <w:right w:val="single" w:color="000000" w:sz="4" w:space="0"/>
            </w:tcBorders>
            <w:noWrap/>
            <w:vAlign w:val="center"/>
          </w:tcPr>
          <w:p w14:paraId="50512527">
            <w:pPr>
              <w:jc w:val="center"/>
              <w:rPr>
                <w:rFonts w:ascii="Times New Roman" w:hAnsi="Times New Roman" w:eastAsia="方正仿宋_GBK" w:cs="Times New Roman"/>
                <w:color w:val="000000"/>
                <w:sz w:val="22"/>
                <w:szCs w:val="22"/>
              </w:rPr>
            </w:pPr>
          </w:p>
        </w:tc>
        <w:tc>
          <w:tcPr>
            <w:tcW w:w="795" w:type="dxa"/>
            <w:tcBorders>
              <w:top w:val="single" w:color="000000" w:sz="4" w:space="0"/>
              <w:left w:val="nil"/>
              <w:bottom w:val="single" w:color="000000" w:sz="4" w:space="0"/>
              <w:right w:val="single" w:color="000000" w:sz="4" w:space="0"/>
            </w:tcBorders>
            <w:noWrap/>
            <w:vAlign w:val="center"/>
          </w:tcPr>
          <w:p w14:paraId="2A4E1424">
            <w:pPr>
              <w:rPr>
                <w:rFonts w:ascii="Times New Roman" w:hAnsi="Times New Roman" w:eastAsia="方正仿宋_GBK" w:cs="Times New Roman"/>
                <w:color w:val="000000"/>
                <w:sz w:val="22"/>
                <w:szCs w:val="22"/>
              </w:rPr>
            </w:pPr>
          </w:p>
        </w:tc>
        <w:tc>
          <w:tcPr>
            <w:tcW w:w="780" w:type="dxa"/>
            <w:vMerge w:val="continue"/>
            <w:tcBorders>
              <w:top w:val="nil"/>
              <w:left w:val="nil"/>
              <w:bottom w:val="single" w:color="000000" w:sz="4" w:space="0"/>
              <w:right w:val="single" w:color="000000" w:sz="4" w:space="0"/>
            </w:tcBorders>
            <w:vAlign w:val="center"/>
          </w:tcPr>
          <w:p w14:paraId="3A3142CE">
            <w:pPr>
              <w:rPr>
                <w:rFonts w:ascii="Times New Roman" w:hAnsi="Times New Roman" w:eastAsia="方正仿宋_GBK" w:cs="Times New Roman"/>
                <w:color w:val="000000"/>
                <w:sz w:val="22"/>
                <w:szCs w:val="22"/>
              </w:rPr>
            </w:pPr>
          </w:p>
        </w:tc>
      </w:tr>
      <w:tr w14:paraId="1C77755B">
        <w:tblPrEx>
          <w:tblCellMar>
            <w:top w:w="0" w:type="dxa"/>
            <w:left w:w="108" w:type="dxa"/>
            <w:bottom w:w="0" w:type="dxa"/>
            <w:right w:w="108" w:type="dxa"/>
          </w:tblCellMar>
        </w:tblPrEx>
        <w:trPr>
          <w:trHeight w:val="432" w:hRule="atLeast"/>
        </w:trPr>
        <w:tc>
          <w:tcPr>
            <w:tcW w:w="8355" w:type="dxa"/>
            <w:vMerge w:val="continue"/>
            <w:tcBorders>
              <w:top w:val="nil"/>
              <w:left w:val="single" w:color="000000" w:sz="4" w:space="0"/>
              <w:bottom w:val="nil"/>
              <w:right w:val="single" w:color="000000" w:sz="4" w:space="0"/>
            </w:tcBorders>
            <w:vAlign w:val="center"/>
          </w:tcPr>
          <w:p w14:paraId="4A49D7F7">
            <w:pPr>
              <w:rPr>
                <w:rFonts w:ascii="Times New Roman" w:hAnsi="Times New Roman" w:eastAsia="方正仿宋_GBK" w:cs="Times New Roman"/>
                <w:color w:val="000000"/>
                <w:sz w:val="22"/>
                <w:szCs w:val="22"/>
              </w:rPr>
            </w:pPr>
          </w:p>
        </w:tc>
        <w:tc>
          <w:tcPr>
            <w:tcW w:w="750" w:type="dxa"/>
            <w:vMerge w:val="continue"/>
            <w:tcBorders>
              <w:top w:val="nil"/>
              <w:left w:val="nil"/>
              <w:bottom w:val="single" w:color="000000" w:sz="4" w:space="0"/>
              <w:right w:val="single" w:color="000000" w:sz="4" w:space="0"/>
            </w:tcBorders>
            <w:vAlign w:val="center"/>
          </w:tcPr>
          <w:p w14:paraId="0C5928CC">
            <w:pPr>
              <w:rPr>
                <w:rFonts w:ascii="Times New Roman" w:hAnsi="Times New Roman" w:eastAsia="方正仿宋_GBK" w:cs="Times New Roman"/>
                <w:color w:val="000000"/>
                <w:sz w:val="22"/>
                <w:szCs w:val="22"/>
              </w:rPr>
            </w:pPr>
          </w:p>
        </w:tc>
        <w:tc>
          <w:tcPr>
            <w:tcW w:w="675" w:type="dxa"/>
            <w:tcBorders>
              <w:top w:val="single" w:color="000000" w:sz="4" w:space="0"/>
              <w:left w:val="nil"/>
              <w:bottom w:val="single" w:color="000000" w:sz="4" w:space="0"/>
              <w:right w:val="single" w:color="000000" w:sz="4" w:space="0"/>
            </w:tcBorders>
            <w:noWrap/>
            <w:vAlign w:val="center"/>
          </w:tcPr>
          <w:p w14:paraId="0AC351EA">
            <w:pPr>
              <w:jc w:val="center"/>
              <w:rPr>
                <w:rFonts w:ascii="Times New Roman" w:hAnsi="Times New Roman" w:eastAsia="方正仿宋_GBK" w:cs="Times New Roman"/>
                <w:color w:val="000000"/>
                <w:sz w:val="22"/>
                <w:szCs w:val="22"/>
              </w:rPr>
            </w:pPr>
          </w:p>
        </w:tc>
        <w:tc>
          <w:tcPr>
            <w:tcW w:w="720" w:type="dxa"/>
            <w:tcBorders>
              <w:top w:val="single" w:color="000000" w:sz="4" w:space="0"/>
              <w:left w:val="nil"/>
              <w:bottom w:val="single" w:color="000000" w:sz="4" w:space="0"/>
              <w:right w:val="single" w:color="000000" w:sz="4" w:space="0"/>
            </w:tcBorders>
            <w:noWrap/>
            <w:vAlign w:val="center"/>
          </w:tcPr>
          <w:p w14:paraId="30457E50">
            <w:pPr>
              <w:jc w:val="center"/>
              <w:rPr>
                <w:rFonts w:ascii="Times New Roman" w:hAnsi="Times New Roman" w:eastAsia="方正仿宋_GBK" w:cs="Times New Roman"/>
                <w:color w:val="000000"/>
                <w:sz w:val="22"/>
                <w:szCs w:val="22"/>
              </w:rPr>
            </w:pPr>
          </w:p>
        </w:tc>
        <w:tc>
          <w:tcPr>
            <w:tcW w:w="915" w:type="dxa"/>
            <w:tcBorders>
              <w:top w:val="single" w:color="000000" w:sz="4" w:space="0"/>
              <w:left w:val="nil"/>
              <w:bottom w:val="single" w:color="000000" w:sz="4" w:space="0"/>
              <w:right w:val="single" w:color="000000" w:sz="4" w:space="0"/>
            </w:tcBorders>
            <w:noWrap/>
            <w:vAlign w:val="center"/>
          </w:tcPr>
          <w:p w14:paraId="2AA25D0E">
            <w:pPr>
              <w:jc w:val="center"/>
              <w:rPr>
                <w:rFonts w:ascii="Times New Roman" w:hAnsi="Times New Roman" w:eastAsia="方正仿宋_GBK" w:cs="Times New Roman"/>
                <w:color w:val="000000"/>
                <w:sz w:val="22"/>
                <w:szCs w:val="22"/>
              </w:rPr>
            </w:pPr>
          </w:p>
        </w:tc>
        <w:tc>
          <w:tcPr>
            <w:tcW w:w="690" w:type="dxa"/>
            <w:tcBorders>
              <w:top w:val="single" w:color="000000" w:sz="4" w:space="0"/>
              <w:left w:val="nil"/>
              <w:bottom w:val="single" w:color="000000" w:sz="4" w:space="0"/>
              <w:right w:val="single" w:color="000000" w:sz="4" w:space="0"/>
            </w:tcBorders>
            <w:noWrap/>
            <w:vAlign w:val="center"/>
          </w:tcPr>
          <w:p w14:paraId="2CA41CFD">
            <w:pPr>
              <w:jc w:val="center"/>
              <w:rPr>
                <w:rFonts w:ascii="Times New Roman" w:hAnsi="Times New Roman" w:eastAsia="方正仿宋_GBK" w:cs="Times New Roman"/>
                <w:color w:val="000000"/>
                <w:sz w:val="22"/>
                <w:szCs w:val="22"/>
              </w:rPr>
            </w:pPr>
          </w:p>
        </w:tc>
        <w:tc>
          <w:tcPr>
            <w:tcW w:w="705" w:type="dxa"/>
            <w:tcBorders>
              <w:top w:val="single" w:color="000000" w:sz="4" w:space="0"/>
              <w:left w:val="nil"/>
              <w:bottom w:val="single" w:color="000000" w:sz="4" w:space="0"/>
              <w:right w:val="single" w:color="000000" w:sz="4" w:space="0"/>
            </w:tcBorders>
            <w:noWrap/>
            <w:vAlign w:val="center"/>
          </w:tcPr>
          <w:p w14:paraId="2F355185">
            <w:pPr>
              <w:jc w:val="center"/>
              <w:rPr>
                <w:rFonts w:ascii="Times New Roman" w:hAnsi="Times New Roman" w:eastAsia="方正仿宋_GBK" w:cs="Times New Roman"/>
                <w:color w:val="000000"/>
                <w:sz w:val="22"/>
                <w:szCs w:val="22"/>
              </w:rPr>
            </w:pPr>
          </w:p>
        </w:tc>
        <w:tc>
          <w:tcPr>
            <w:tcW w:w="945" w:type="dxa"/>
            <w:tcBorders>
              <w:top w:val="single" w:color="000000" w:sz="4" w:space="0"/>
              <w:left w:val="nil"/>
              <w:bottom w:val="single" w:color="000000" w:sz="4" w:space="0"/>
              <w:right w:val="single" w:color="000000" w:sz="4" w:space="0"/>
            </w:tcBorders>
            <w:noWrap/>
            <w:vAlign w:val="center"/>
          </w:tcPr>
          <w:p w14:paraId="2B4F1F23">
            <w:pPr>
              <w:jc w:val="center"/>
              <w:rPr>
                <w:rFonts w:ascii="Times New Roman" w:hAnsi="Times New Roman" w:eastAsia="方正仿宋_GBK" w:cs="Times New Roman"/>
                <w:color w:val="000000"/>
                <w:sz w:val="22"/>
                <w:szCs w:val="22"/>
              </w:rPr>
            </w:pPr>
          </w:p>
        </w:tc>
        <w:tc>
          <w:tcPr>
            <w:tcW w:w="780" w:type="dxa"/>
            <w:tcBorders>
              <w:top w:val="single" w:color="000000" w:sz="4" w:space="0"/>
              <w:left w:val="nil"/>
              <w:bottom w:val="single" w:color="000000" w:sz="4" w:space="0"/>
              <w:right w:val="single" w:color="000000" w:sz="4" w:space="0"/>
            </w:tcBorders>
            <w:noWrap/>
            <w:vAlign w:val="center"/>
          </w:tcPr>
          <w:p w14:paraId="57395A16">
            <w:pPr>
              <w:jc w:val="center"/>
              <w:rPr>
                <w:rFonts w:ascii="Times New Roman" w:hAnsi="Times New Roman" w:eastAsia="方正仿宋_GBK" w:cs="Times New Roman"/>
                <w:color w:val="000000"/>
                <w:sz w:val="22"/>
                <w:szCs w:val="22"/>
              </w:rPr>
            </w:pPr>
          </w:p>
        </w:tc>
        <w:tc>
          <w:tcPr>
            <w:tcW w:w="795" w:type="dxa"/>
            <w:tcBorders>
              <w:top w:val="single" w:color="000000" w:sz="4" w:space="0"/>
              <w:left w:val="nil"/>
              <w:bottom w:val="single" w:color="000000" w:sz="4" w:space="0"/>
              <w:right w:val="single" w:color="000000" w:sz="4" w:space="0"/>
            </w:tcBorders>
            <w:noWrap/>
            <w:vAlign w:val="center"/>
          </w:tcPr>
          <w:p w14:paraId="2A6BF50D">
            <w:pPr>
              <w:rPr>
                <w:rFonts w:ascii="Times New Roman" w:hAnsi="Times New Roman" w:eastAsia="方正仿宋_GBK" w:cs="Times New Roman"/>
                <w:color w:val="000000"/>
                <w:sz w:val="22"/>
                <w:szCs w:val="22"/>
              </w:rPr>
            </w:pPr>
          </w:p>
        </w:tc>
        <w:tc>
          <w:tcPr>
            <w:tcW w:w="780" w:type="dxa"/>
            <w:vMerge w:val="continue"/>
            <w:tcBorders>
              <w:top w:val="nil"/>
              <w:left w:val="nil"/>
              <w:bottom w:val="single" w:color="000000" w:sz="4" w:space="0"/>
              <w:right w:val="single" w:color="000000" w:sz="4" w:space="0"/>
            </w:tcBorders>
            <w:vAlign w:val="center"/>
          </w:tcPr>
          <w:p w14:paraId="2F6AE209">
            <w:pPr>
              <w:rPr>
                <w:rFonts w:ascii="Times New Roman" w:hAnsi="Times New Roman" w:eastAsia="方正仿宋_GBK" w:cs="Times New Roman"/>
                <w:color w:val="000000"/>
                <w:sz w:val="22"/>
                <w:szCs w:val="22"/>
              </w:rPr>
            </w:pPr>
          </w:p>
        </w:tc>
      </w:tr>
      <w:tr w14:paraId="22E54E5E">
        <w:tblPrEx>
          <w:tblCellMar>
            <w:top w:w="0" w:type="dxa"/>
            <w:left w:w="108" w:type="dxa"/>
            <w:bottom w:w="0" w:type="dxa"/>
            <w:right w:w="108" w:type="dxa"/>
          </w:tblCellMar>
        </w:tblPrEx>
        <w:trPr>
          <w:trHeight w:val="432" w:hRule="atLeast"/>
        </w:trPr>
        <w:tc>
          <w:tcPr>
            <w:tcW w:w="600" w:type="dxa"/>
            <w:vMerge w:val="restart"/>
            <w:tcBorders>
              <w:top w:val="nil"/>
              <w:left w:val="single" w:color="000000" w:sz="4" w:space="0"/>
              <w:bottom w:val="nil"/>
              <w:right w:val="single" w:color="000000" w:sz="4" w:space="0"/>
            </w:tcBorders>
            <w:noWrap/>
            <w:vAlign w:val="center"/>
          </w:tcPr>
          <w:p w14:paraId="2B2FDE80">
            <w:pPr>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2</w:t>
            </w:r>
          </w:p>
        </w:tc>
        <w:tc>
          <w:tcPr>
            <w:tcW w:w="750" w:type="dxa"/>
            <w:vMerge w:val="restart"/>
            <w:tcBorders>
              <w:top w:val="nil"/>
              <w:left w:val="nil"/>
              <w:bottom w:val="single" w:color="000000" w:sz="4" w:space="0"/>
              <w:right w:val="single" w:color="000000" w:sz="4" w:space="0"/>
            </w:tcBorders>
            <w:noWrap/>
            <w:vAlign w:val="center"/>
          </w:tcPr>
          <w:p w14:paraId="38FABE4A">
            <w:pPr>
              <w:jc w:val="center"/>
              <w:rPr>
                <w:rFonts w:ascii="Times New Roman" w:hAnsi="Times New Roman" w:eastAsia="方正仿宋_GBK" w:cs="Times New Roman"/>
                <w:color w:val="000000"/>
                <w:sz w:val="22"/>
                <w:szCs w:val="22"/>
              </w:rPr>
            </w:pPr>
          </w:p>
        </w:tc>
        <w:tc>
          <w:tcPr>
            <w:tcW w:w="675" w:type="dxa"/>
            <w:tcBorders>
              <w:top w:val="single" w:color="000000" w:sz="4" w:space="0"/>
              <w:left w:val="nil"/>
              <w:bottom w:val="single" w:color="000000" w:sz="4" w:space="0"/>
              <w:right w:val="single" w:color="000000" w:sz="4" w:space="0"/>
            </w:tcBorders>
            <w:noWrap/>
            <w:vAlign w:val="center"/>
          </w:tcPr>
          <w:p w14:paraId="06F19F17">
            <w:pPr>
              <w:jc w:val="center"/>
              <w:rPr>
                <w:rFonts w:ascii="Times New Roman" w:hAnsi="Times New Roman" w:eastAsia="方正仿宋_GBK" w:cs="Times New Roman"/>
                <w:color w:val="000000"/>
                <w:sz w:val="22"/>
                <w:szCs w:val="22"/>
              </w:rPr>
            </w:pPr>
          </w:p>
        </w:tc>
        <w:tc>
          <w:tcPr>
            <w:tcW w:w="720" w:type="dxa"/>
            <w:tcBorders>
              <w:top w:val="single" w:color="000000" w:sz="4" w:space="0"/>
              <w:left w:val="nil"/>
              <w:bottom w:val="single" w:color="000000" w:sz="4" w:space="0"/>
              <w:right w:val="single" w:color="000000" w:sz="4" w:space="0"/>
            </w:tcBorders>
            <w:noWrap/>
            <w:vAlign w:val="center"/>
          </w:tcPr>
          <w:p w14:paraId="019E70C2">
            <w:pPr>
              <w:jc w:val="center"/>
              <w:rPr>
                <w:rFonts w:ascii="Times New Roman" w:hAnsi="Times New Roman" w:eastAsia="方正仿宋_GBK" w:cs="Times New Roman"/>
                <w:color w:val="000000"/>
                <w:sz w:val="22"/>
                <w:szCs w:val="22"/>
              </w:rPr>
            </w:pPr>
          </w:p>
        </w:tc>
        <w:tc>
          <w:tcPr>
            <w:tcW w:w="915" w:type="dxa"/>
            <w:tcBorders>
              <w:top w:val="single" w:color="000000" w:sz="4" w:space="0"/>
              <w:left w:val="nil"/>
              <w:bottom w:val="single" w:color="000000" w:sz="4" w:space="0"/>
              <w:right w:val="single" w:color="000000" w:sz="4" w:space="0"/>
            </w:tcBorders>
            <w:noWrap/>
            <w:vAlign w:val="center"/>
          </w:tcPr>
          <w:p w14:paraId="7024E141">
            <w:pPr>
              <w:jc w:val="center"/>
              <w:rPr>
                <w:rFonts w:ascii="Times New Roman" w:hAnsi="Times New Roman" w:eastAsia="方正仿宋_GBK" w:cs="Times New Roman"/>
                <w:color w:val="000000"/>
                <w:sz w:val="22"/>
                <w:szCs w:val="22"/>
              </w:rPr>
            </w:pPr>
          </w:p>
        </w:tc>
        <w:tc>
          <w:tcPr>
            <w:tcW w:w="690" w:type="dxa"/>
            <w:tcBorders>
              <w:top w:val="single" w:color="000000" w:sz="4" w:space="0"/>
              <w:left w:val="nil"/>
              <w:bottom w:val="single" w:color="000000" w:sz="4" w:space="0"/>
              <w:right w:val="single" w:color="000000" w:sz="4" w:space="0"/>
            </w:tcBorders>
            <w:noWrap/>
            <w:vAlign w:val="center"/>
          </w:tcPr>
          <w:p w14:paraId="0B506F77">
            <w:pPr>
              <w:jc w:val="center"/>
              <w:rPr>
                <w:rFonts w:ascii="Times New Roman" w:hAnsi="Times New Roman" w:eastAsia="方正仿宋_GBK" w:cs="Times New Roman"/>
                <w:color w:val="000000"/>
                <w:sz w:val="22"/>
                <w:szCs w:val="22"/>
              </w:rPr>
            </w:pPr>
          </w:p>
        </w:tc>
        <w:tc>
          <w:tcPr>
            <w:tcW w:w="705" w:type="dxa"/>
            <w:tcBorders>
              <w:top w:val="single" w:color="000000" w:sz="4" w:space="0"/>
              <w:left w:val="nil"/>
              <w:bottom w:val="single" w:color="000000" w:sz="4" w:space="0"/>
              <w:right w:val="single" w:color="000000" w:sz="4" w:space="0"/>
            </w:tcBorders>
            <w:noWrap/>
            <w:vAlign w:val="center"/>
          </w:tcPr>
          <w:p w14:paraId="70ED19AE">
            <w:pPr>
              <w:jc w:val="center"/>
              <w:rPr>
                <w:rFonts w:ascii="Times New Roman" w:hAnsi="Times New Roman" w:eastAsia="方正仿宋_GBK" w:cs="Times New Roman"/>
                <w:color w:val="000000"/>
                <w:sz w:val="22"/>
                <w:szCs w:val="22"/>
              </w:rPr>
            </w:pPr>
          </w:p>
        </w:tc>
        <w:tc>
          <w:tcPr>
            <w:tcW w:w="945" w:type="dxa"/>
            <w:tcBorders>
              <w:top w:val="single" w:color="000000" w:sz="4" w:space="0"/>
              <w:left w:val="nil"/>
              <w:bottom w:val="single" w:color="000000" w:sz="4" w:space="0"/>
              <w:right w:val="single" w:color="000000" w:sz="4" w:space="0"/>
            </w:tcBorders>
            <w:noWrap/>
            <w:vAlign w:val="center"/>
          </w:tcPr>
          <w:p w14:paraId="54C7A378">
            <w:pPr>
              <w:jc w:val="center"/>
              <w:rPr>
                <w:rFonts w:ascii="Times New Roman" w:hAnsi="Times New Roman" w:eastAsia="方正仿宋_GBK" w:cs="Times New Roman"/>
                <w:color w:val="000000"/>
                <w:sz w:val="22"/>
                <w:szCs w:val="22"/>
              </w:rPr>
            </w:pPr>
          </w:p>
        </w:tc>
        <w:tc>
          <w:tcPr>
            <w:tcW w:w="780" w:type="dxa"/>
            <w:tcBorders>
              <w:top w:val="single" w:color="000000" w:sz="4" w:space="0"/>
              <w:left w:val="nil"/>
              <w:bottom w:val="single" w:color="000000" w:sz="4" w:space="0"/>
              <w:right w:val="single" w:color="000000" w:sz="4" w:space="0"/>
            </w:tcBorders>
            <w:noWrap/>
            <w:vAlign w:val="center"/>
          </w:tcPr>
          <w:p w14:paraId="0E536532">
            <w:pPr>
              <w:rPr>
                <w:rFonts w:ascii="Times New Roman" w:hAnsi="Times New Roman" w:eastAsia="方正仿宋_GBK" w:cs="Times New Roman"/>
                <w:color w:val="000000"/>
                <w:sz w:val="22"/>
                <w:szCs w:val="22"/>
              </w:rPr>
            </w:pPr>
          </w:p>
        </w:tc>
        <w:tc>
          <w:tcPr>
            <w:tcW w:w="795" w:type="dxa"/>
            <w:tcBorders>
              <w:top w:val="single" w:color="000000" w:sz="4" w:space="0"/>
              <w:left w:val="nil"/>
              <w:bottom w:val="single" w:color="000000" w:sz="4" w:space="0"/>
              <w:right w:val="single" w:color="000000" w:sz="4" w:space="0"/>
            </w:tcBorders>
            <w:noWrap/>
            <w:vAlign w:val="center"/>
          </w:tcPr>
          <w:p w14:paraId="57133D33">
            <w:pPr>
              <w:rPr>
                <w:rFonts w:ascii="Times New Roman" w:hAnsi="Times New Roman" w:eastAsia="方正仿宋_GBK" w:cs="Times New Roman"/>
                <w:color w:val="000000"/>
                <w:sz w:val="22"/>
                <w:szCs w:val="22"/>
              </w:rPr>
            </w:pPr>
          </w:p>
        </w:tc>
        <w:tc>
          <w:tcPr>
            <w:tcW w:w="780" w:type="dxa"/>
            <w:vMerge w:val="restart"/>
            <w:tcBorders>
              <w:top w:val="nil"/>
              <w:left w:val="nil"/>
              <w:bottom w:val="single" w:color="000000" w:sz="4" w:space="0"/>
              <w:right w:val="single" w:color="000000" w:sz="4" w:space="0"/>
            </w:tcBorders>
            <w:noWrap/>
            <w:vAlign w:val="center"/>
          </w:tcPr>
          <w:p w14:paraId="2B423830">
            <w:pPr>
              <w:jc w:val="center"/>
              <w:rPr>
                <w:rFonts w:ascii="Times New Roman" w:hAnsi="Times New Roman" w:eastAsia="方正仿宋_GBK" w:cs="Times New Roman"/>
                <w:color w:val="000000"/>
                <w:sz w:val="22"/>
                <w:szCs w:val="22"/>
              </w:rPr>
            </w:pPr>
          </w:p>
        </w:tc>
      </w:tr>
      <w:tr w14:paraId="4E8070BC">
        <w:tblPrEx>
          <w:tblCellMar>
            <w:top w:w="0" w:type="dxa"/>
            <w:left w:w="108" w:type="dxa"/>
            <w:bottom w:w="0" w:type="dxa"/>
            <w:right w:w="108" w:type="dxa"/>
          </w:tblCellMar>
        </w:tblPrEx>
        <w:trPr>
          <w:trHeight w:val="432" w:hRule="atLeast"/>
        </w:trPr>
        <w:tc>
          <w:tcPr>
            <w:tcW w:w="8355" w:type="dxa"/>
            <w:vMerge w:val="continue"/>
            <w:tcBorders>
              <w:top w:val="nil"/>
              <w:left w:val="single" w:color="000000" w:sz="4" w:space="0"/>
              <w:bottom w:val="nil"/>
              <w:right w:val="single" w:color="000000" w:sz="4" w:space="0"/>
            </w:tcBorders>
            <w:vAlign w:val="center"/>
          </w:tcPr>
          <w:p w14:paraId="189FF635">
            <w:pPr>
              <w:rPr>
                <w:rFonts w:ascii="Times New Roman" w:hAnsi="Times New Roman" w:eastAsia="方正仿宋_GBK" w:cs="Times New Roman"/>
                <w:color w:val="000000"/>
                <w:sz w:val="22"/>
                <w:szCs w:val="22"/>
              </w:rPr>
            </w:pPr>
          </w:p>
        </w:tc>
        <w:tc>
          <w:tcPr>
            <w:tcW w:w="750" w:type="dxa"/>
            <w:vMerge w:val="continue"/>
            <w:tcBorders>
              <w:top w:val="nil"/>
              <w:left w:val="nil"/>
              <w:bottom w:val="single" w:color="000000" w:sz="4" w:space="0"/>
              <w:right w:val="single" w:color="000000" w:sz="4" w:space="0"/>
            </w:tcBorders>
            <w:vAlign w:val="center"/>
          </w:tcPr>
          <w:p w14:paraId="3BDB6A4C">
            <w:pPr>
              <w:rPr>
                <w:rFonts w:ascii="Times New Roman" w:hAnsi="Times New Roman" w:eastAsia="方正仿宋_GBK" w:cs="Times New Roman"/>
                <w:color w:val="000000"/>
                <w:sz w:val="22"/>
                <w:szCs w:val="22"/>
              </w:rPr>
            </w:pPr>
          </w:p>
        </w:tc>
        <w:tc>
          <w:tcPr>
            <w:tcW w:w="675" w:type="dxa"/>
            <w:tcBorders>
              <w:top w:val="single" w:color="000000" w:sz="4" w:space="0"/>
              <w:left w:val="nil"/>
              <w:bottom w:val="single" w:color="000000" w:sz="4" w:space="0"/>
              <w:right w:val="single" w:color="000000" w:sz="4" w:space="0"/>
            </w:tcBorders>
            <w:noWrap/>
            <w:vAlign w:val="center"/>
          </w:tcPr>
          <w:p w14:paraId="0B832941">
            <w:pPr>
              <w:rPr>
                <w:color w:val="000000"/>
                <w:sz w:val="22"/>
                <w:szCs w:val="22"/>
              </w:rPr>
            </w:pPr>
          </w:p>
        </w:tc>
        <w:tc>
          <w:tcPr>
            <w:tcW w:w="720" w:type="dxa"/>
            <w:tcBorders>
              <w:top w:val="single" w:color="000000" w:sz="4" w:space="0"/>
              <w:left w:val="nil"/>
              <w:bottom w:val="single" w:color="000000" w:sz="4" w:space="0"/>
              <w:right w:val="single" w:color="000000" w:sz="4" w:space="0"/>
            </w:tcBorders>
            <w:noWrap/>
            <w:vAlign w:val="center"/>
          </w:tcPr>
          <w:p w14:paraId="24D13F6C">
            <w:pPr>
              <w:rPr>
                <w:color w:val="000000"/>
                <w:sz w:val="22"/>
                <w:szCs w:val="22"/>
              </w:rPr>
            </w:pPr>
          </w:p>
        </w:tc>
        <w:tc>
          <w:tcPr>
            <w:tcW w:w="915" w:type="dxa"/>
            <w:tcBorders>
              <w:top w:val="single" w:color="000000" w:sz="4" w:space="0"/>
              <w:left w:val="nil"/>
              <w:bottom w:val="single" w:color="000000" w:sz="4" w:space="0"/>
              <w:right w:val="single" w:color="000000" w:sz="4" w:space="0"/>
            </w:tcBorders>
            <w:noWrap/>
            <w:vAlign w:val="center"/>
          </w:tcPr>
          <w:p w14:paraId="60EC3B2D">
            <w:pPr>
              <w:rPr>
                <w:color w:val="000000"/>
                <w:sz w:val="22"/>
                <w:szCs w:val="22"/>
              </w:rPr>
            </w:pPr>
          </w:p>
        </w:tc>
        <w:tc>
          <w:tcPr>
            <w:tcW w:w="690" w:type="dxa"/>
            <w:tcBorders>
              <w:top w:val="single" w:color="000000" w:sz="4" w:space="0"/>
              <w:left w:val="nil"/>
              <w:bottom w:val="single" w:color="000000" w:sz="4" w:space="0"/>
              <w:right w:val="single" w:color="000000" w:sz="4" w:space="0"/>
            </w:tcBorders>
            <w:noWrap/>
            <w:vAlign w:val="center"/>
          </w:tcPr>
          <w:p w14:paraId="42901180">
            <w:pPr>
              <w:rPr>
                <w:color w:val="000000"/>
                <w:sz w:val="22"/>
                <w:szCs w:val="22"/>
              </w:rPr>
            </w:pPr>
          </w:p>
        </w:tc>
        <w:tc>
          <w:tcPr>
            <w:tcW w:w="705" w:type="dxa"/>
            <w:tcBorders>
              <w:top w:val="single" w:color="000000" w:sz="4" w:space="0"/>
              <w:left w:val="nil"/>
              <w:bottom w:val="single" w:color="000000" w:sz="4" w:space="0"/>
              <w:right w:val="single" w:color="000000" w:sz="4" w:space="0"/>
            </w:tcBorders>
            <w:noWrap/>
            <w:vAlign w:val="center"/>
          </w:tcPr>
          <w:p w14:paraId="68A98C1A">
            <w:pPr>
              <w:rPr>
                <w:color w:val="000000"/>
                <w:sz w:val="22"/>
                <w:szCs w:val="22"/>
              </w:rPr>
            </w:pPr>
          </w:p>
        </w:tc>
        <w:tc>
          <w:tcPr>
            <w:tcW w:w="945" w:type="dxa"/>
            <w:tcBorders>
              <w:top w:val="single" w:color="000000" w:sz="4" w:space="0"/>
              <w:left w:val="nil"/>
              <w:bottom w:val="single" w:color="000000" w:sz="4" w:space="0"/>
              <w:right w:val="single" w:color="000000" w:sz="4" w:space="0"/>
            </w:tcBorders>
            <w:noWrap/>
            <w:vAlign w:val="center"/>
          </w:tcPr>
          <w:p w14:paraId="3B9EE7BF">
            <w:pPr>
              <w:rPr>
                <w:color w:val="000000"/>
                <w:sz w:val="22"/>
                <w:szCs w:val="22"/>
              </w:rPr>
            </w:pPr>
          </w:p>
        </w:tc>
        <w:tc>
          <w:tcPr>
            <w:tcW w:w="780" w:type="dxa"/>
            <w:tcBorders>
              <w:top w:val="single" w:color="000000" w:sz="4" w:space="0"/>
              <w:left w:val="nil"/>
              <w:bottom w:val="single" w:color="000000" w:sz="4" w:space="0"/>
              <w:right w:val="single" w:color="000000" w:sz="4" w:space="0"/>
            </w:tcBorders>
            <w:noWrap/>
            <w:vAlign w:val="center"/>
          </w:tcPr>
          <w:p w14:paraId="115FEA45">
            <w:pPr>
              <w:rPr>
                <w:color w:val="000000"/>
                <w:sz w:val="22"/>
                <w:szCs w:val="22"/>
              </w:rPr>
            </w:pPr>
          </w:p>
        </w:tc>
        <w:tc>
          <w:tcPr>
            <w:tcW w:w="795" w:type="dxa"/>
            <w:tcBorders>
              <w:top w:val="single" w:color="000000" w:sz="4" w:space="0"/>
              <w:left w:val="nil"/>
              <w:bottom w:val="single" w:color="000000" w:sz="4" w:space="0"/>
              <w:right w:val="single" w:color="000000" w:sz="4" w:space="0"/>
            </w:tcBorders>
            <w:noWrap/>
            <w:vAlign w:val="center"/>
          </w:tcPr>
          <w:p w14:paraId="5EA9191E">
            <w:pPr>
              <w:rPr>
                <w:color w:val="000000"/>
                <w:sz w:val="22"/>
                <w:szCs w:val="22"/>
              </w:rPr>
            </w:pPr>
          </w:p>
        </w:tc>
        <w:tc>
          <w:tcPr>
            <w:tcW w:w="780" w:type="dxa"/>
            <w:vMerge w:val="continue"/>
            <w:tcBorders>
              <w:top w:val="nil"/>
              <w:left w:val="nil"/>
              <w:bottom w:val="single" w:color="000000" w:sz="4" w:space="0"/>
              <w:right w:val="single" w:color="000000" w:sz="4" w:space="0"/>
            </w:tcBorders>
            <w:vAlign w:val="center"/>
          </w:tcPr>
          <w:p w14:paraId="676DFC9F">
            <w:pPr>
              <w:rPr>
                <w:rFonts w:ascii="Times New Roman" w:hAnsi="Times New Roman" w:eastAsia="方正仿宋_GBK" w:cs="Times New Roman"/>
                <w:color w:val="000000"/>
                <w:sz w:val="22"/>
                <w:szCs w:val="22"/>
              </w:rPr>
            </w:pPr>
          </w:p>
        </w:tc>
      </w:tr>
      <w:tr w14:paraId="69CE3D7D">
        <w:tblPrEx>
          <w:tblCellMar>
            <w:top w:w="0" w:type="dxa"/>
            <w:left w:w="108" w:type="dxa"/>
            <w:bottom w:w="0" w:type="dxa"/>
            <w:right w:w="108" w:type="dxa"/>
          </w:tblCellMar>
        </w:tblPrEx>
        <w:trPr>
          <w:trHeight w:val="432" w:hRule="atLeast"/>
        </w:trPr>
        <w:tc>
          <w:tcPr>
            <w:tcW w:w="8355" w:type="dxa"/>
            <w:vMerge w:val="continue"/>
            <w:tcBorders>
              <w:top w:val="nil"/>
              <w:left w:val="single" w:color="000000" w:sz="4" w:space="0"/>
              <w:bottom w:val="nil"/>
              <w:right w:val="single" w:color="000000" w:sz="4" w:space="0"/>
            </w:tcBorders>
            <w:vAlign w:val="center"/>
          </w:tcPr>
          <w:p w14:paraId="6027161C">
            <w:pPr>
              <w:rPr>
                <w:rFonts w:ascii="Times New Roman" w:hAnsi="Times New Roman" w:eastAsia="方正仿宋_GBK" w:cs="Times New Roman"/>
                <w:color w:val="000000"/>
                <w:sz w:val="22"/>
                <w:szCs w:val="22"/>
              </w:rPr>
            </w:pPr>
          </w:p>
        </w:tc>
        <w:tc>
          <w:tcPr>
            <w:tcW w:w="750" w:type="dxa"/>
            <w:vMerge w:val="continue"/>
            <w:tcBorders>
              <w:top w:val="nil"/>
              <w:left w:val="nil"/>
              <w:bottom w:val="single" w:color="000000" w:sz="4" w:space="0"/>
              <w:right w:val="single" w:color="000000" w:sz="4" w:space="0"/>
            </w:tcBorders>
            <w:vAlign w:val="center"/>
          </w:tcPr>
          <w:p w14:paraId="407C4B1F">
            <w:pPr>
              <w:rPr>
                <w:rFonts w:ascii="Times New Roman" w:hAnsi="Times New Roman" w:eastAsia="方正仿宋_GBK" w:cs="Times New Roman"/>
                <w:color w:val="000000"/>
                <w:sz w:val="22"/>
                <w:szCs w:val="22"/>
              </w:rPr>
            </w:pPr>
          </w:p>
        </w:tc>
        <w:tc>
          <w:tcPr>
            <w:tcW w:w="675" w:type="dxa"/>
            <w:tcBorders>
              <w:top w:val="single" w:color="000000" w:sz="4" w:space="0"/>
              <w:left w:val="nil"/>
              <w:bottom w:val="single" w:color="000000" w:sz="4" w:space="0"/>
              <w:right w:val="single" w:color="000000" w:sz="4" w:space="0"/>
            </w:tcBorders>
            <w:noWrap/>
            <w:vAlign w:val="center"/>
          </w:tcPr>
          <w:p w14:paraId="77FBFE0F">
            <w:pPr>
              <w:rPr>
                <w:color w:val="000000"/>
                <w:sz w:val="22"/>
                <w:szCs w:val="22"/>
              </w:rPr>
            </w:pPr>
          </w:p>
        </w:tc>
        <w:tc>
          <w:tcPr>
            <w:tcW w:w="720" w:type="dxa"/>
            <w:tcBorders>
              <w:top w:val="single" w:color="000000" w:sz="4" w:space="0"/>
              <w:left w:val="nil"/>
              <w:bottom w:val="single" w:color="000000" w:sz="4" w:space="0"/>
              <w:right w:val="single" w:color="000000" w:sz="4" w:space="0"/>
            </w:tcBorders>
            <w:noWrap/>
            <w:vAlign w:val="center"/>
          </w:tcPr>
          <w:p w14:paraId="323EB3B0">
            <w:pPr>
              <w:rPr>
                <w:color w:val="000000"/>
                <w:sz w:val="22"/>
                <w:szCs w:val="22"/>
              </w:rPr>
            </w:pPr>
          </w:p>
        </w:tc>
        <w:tc>
          <w:tcPr>
            <w:tcW w:w="915" w:type="dxa"/>
            <w:tcBorders>
              <w:top w:val="single" w:color="000000" w:sz="4" w:space="0"/>
              <w:left w:val="nil"/>
              <w:bottom w:val="single" w:color="000000" w:sz="4" w:space="0"/>
              <w:right w:val="single" w:color="000000" w:sz="4" w:space="0"/>
            </w:tcBorders>
            <w:noWrap/>
            <w:vAlign w:val="center"/>
          </w:tcPr>
          <w:p w14:paraId="4C46364F">
            <w:pPr>
              <w:rPr>
                <w:color w:val="000000"/>
                <w:sz w:val="22"/>
                <w:szCs w:val="22"/>
              </w:rPr>
            </w:pPr>
          </w:p>
        </w:tc>
        <w:tc>
          <w:tcPr>
            <w:tcW w:w="690" w:type="dxa"/>
            <w:tcBorders>
              <w:top w:val="single" w:color="000000" w:sz="4" w:space="0"/>
              <w:left w:val="nil"/>
              <w:bottom w:val="single" w:color="000000" w:sz="4" w:space="0"/>
              <w:right w:val="single" w:color="000000" w:sz="4" w:space="0"/>
            </w:tcBorders>
            <w:noWrap/>
            <w:vAlign w:val="center"/>
          </w:tcPr>
          <w:p w14:paraId="28422E0C">
            <w:pPr>
              <w:rPr>
                <w:color w:val="000000"/>
                <w:sz w:val="22"/>
                <w:szCs w:val="22"/>
              </w:rPr>
            </w:pPr>
          </w:p>
        </w:tc>
        <w:tc>
          <w:tcPr>
            <w:tcW w:w="705" w:type="dxa"/>
            <w:tcBorders>
              <w:top w:val="single" w:color="000000" w:sz="4" w:space="0"/>
              <w:left w:val="nil"/>
              <w:bottom w:val="single" w:color="000000" w:sz="4" w:space="0"/>
              <w:right w:val="single" w:color="000000" w:sz="4" w:space="0"/>
            </w:tcBorders>
            <w:noWrap/>
            <w:vAlign w:val="center"/>
          </w:tcPr>
          <w:p w14:paraId="62B6ED4D">
            <w:pPr>
              <w:rPr>
                <w:color w:val="000000"/>
                <w:sz w:val="22"/>
                <w:szCs w:val="22"/>
              </w:rPr>
            </w:pPr>
          </w:p>
        </w:tc>
        <w:tc>
          <w:tcPr>
            <w:tcW w:w="945" w:type="dxa"/>
            <w:tcBorders>
              <w:top w:val="single" w:color="000000" w:sz="4" w:space="0"/>
              <w:left w:val="nil"/>
              <w:bottom w:val="single" w:color="000000" w:sz="4" w:space="0"/>
              <w:right w:val="single" w:color="000000" w:sz="4" w:space="0"/>
            </w:tcBorders>
            <w:noWrap/>
            <w:vAlign w:val="center"/>
          </w:tcPr>
          <w:p w14:paraId="29A2DA7F">
            <w:pPr>
              <w:rPr>
                <w:color w:val="000000"/>
                <w:sz w:val="22"/>
                <w:szCs w:val="22"/>
              </w:rPr>
            </w:pPr>
          </w:p>
        </w:tc>
        <w:tc>
          <w:tcPr>
            <w:tcW w:w="780" w:type="dxa"/>
            <w:tcBorders>
              <w:top w:val="single" w:color="000000" w:sz="4" w:space="0"/>
              <w:left w:val="nil"/>
              <w:bottom w:val="single" w:color="000000" w:sz="4" w:space="0"/>
              <w:right w:val="single" w:color="000000" w:sz="4" w:space="0"/>
            </w:tcBorders>
            <w:noWrap/>
            <w:vAlign w:val="center"/>
          </w:tcPr>
          <w:p w14:paraId="2A618E05">
            <w:pPr>
              <w:rPr>
                <w:color w:val="000000"/>
                <w:sz w:val="22"/>
                <w:szCs w:val="22"/>
              </w:rPr>
            </w:pPr>
          </w:p>
        </w:tc>
        <w:tc>
          <w:tcPr>
            <w:tcW w:w="795" w:type="dxa"/>
            <w:tcBorders>
              <w:top w:val="single" w:color="000000" w:sz="4" w:space="0"/>
              <w:left w:val="nil"/>
              <w:bottom w:val="single" w:color="000000" w:sz="4" w:space="0"/>
              <w:right w:val="single" w:color="000000" w:sz="4" w:space="0"/>
            </w:tcBorders>
            <w:noWrap/>
            <w:vAlign w:val="center"/>
          </w:tcPr>
          <w:p w14:paraId="41EA6E24">
            <w:pPr>
              <w:rPr>
                <w:color w:val="000000"/>
                <w:sz w:val="22"/>
                <w:szCs w:val="22"/>
              </w:rPr>
            </w:pPr>
          </w:p>
        </w:tc>
        <w:tc>
          <w:tcPr>
            <w:tcW w:w="780" w:type="dxa"/>
            <w:vMerge w:val="continue"/>
            <w:tcBorders>
              <w:top w:val="nil"/>
              <w:left w:val="nil"/>
              <w:bottom w:val="single" w:color="000000" w:sz="4" w:space="0"/>
              <w:right w:val="single" w:color="000000" w:sz="4" w:space="0"/>
            </w:tcBorders>
            <w:vAlign w:val="center"/>
          </w:tcPr>
          <w:p w14:paraId="1C5E8735">
            <w:pPr>
              <w:rPr>
                <w:rFonts w:ascii="Times New Roman" w:hAnsi="Times New Roman" w:eastAsia="方正仿宋_GBK" w:cs="Times New Roman"/>
                <w:color w:val="000000"/>
                <w:sz w:val="22"/>
                <w:szCs w:val="22"/>
              </w:rPr>
            </w:pPr>
          </w:p>
        </w:tc>
      </w:tr>
      <w:tr w14:paraId="265C26DE">
        <w:tblPrEx>
          <w:tblCellMar>
            <w:top w:w="0" w:type="dxa"/>
            <w:left w:w="108" w:type="dxa"/>
            <w:bottom w:w="0" w:type="dxa"/>
            <w:right w:w="108" w:type="dxa"/>
          </w:tblCellMar>
        </w:tblPrEx>
        <w:trPr>
          <w:trHeight w:val="432" w:hRule="atLeast"/>
        </w:trPr>
        <w:tc>
          <w:tcPr>
            <w:tcW w:w="8355" w:type="dxa"/>
            <w:vMerge w:val="continue"/>
            <w:tcBorders>
              <w:top w:val="nil"/>
              <w:left w:val="single" w:color="000000" w:sz="4" w:space="0"/>
              <w:bottom w:val="nil"/>
              <w:right w:val="single" w:color="000000" w:sz="4" w:space="0"/>
            </w:tcBorders>
            <w:vAlign w:val="center"/>
          </w:tcPr>
          <w:p w14:paraId="19B7ABA9">
            <w:pPr>
              <w:rPr>
                <w:rFonts w:ascii="Times New Roman" w:hAnsi="Times New Roman" w:eastAsia="方正仿宋_GBK" w:cs="Times New Roman"/>
                <w:color w:val="000000"/>
                <w:sz w:val="22"/>
                <w:szCs w:val="22"/>
              </w:rPr>
            </w:pPr>
          </w:p>
        </w:tc>
        <w:tc>
          <w:tcPr>
            <w:tcW w:w="750" w:type="dxa"/>
            <w:vMerge w:val="continue"/>
            <w:tcBorders>
              <w:top w:val="nil"/>
              <w:left w:val="nil"/>
              <w:bottom w:val="single" w:color="000000" w:sz="4" w:space="0"/>
              <w:right w:val="single" w:color="000000" w:sz="4" w:space="0"/>
            </w:tcBorders>
            <w:vAlign w:val="center"/>
          </w:tcPr>
          <w:p w14:paraId="0A860020">
            <w:pPr>
              <w:rPr>
                <w:rFonts w:ascii="Times New Roman" w:hAnsi="Times New Roman" w:eastAsia="方正仿宋_GBK" w:cs="Times New Roman"/>
                <w:color w:val="000000"/>
                <w:sz w:val="22"/>
                <w:szCs w:val="22"/>
              </w:rPr>
            </w:pPr>
          </w:p>
        </w:tc>
        <w:tc>
          <w:tcPr>
            <w:tcW w:w="675" w:type="dxa"/>
            <w:tcBorders>
              <w:top w:val="single" w:color="000000" w:sz="4" w:space="0"/>
              <w:left w:val="nil"/>
              <w:bottom w:val="single" w:color="000000" w:sz="4" w:space="0"/>
              <w:right w:val="single" w:color="000000" w:sz="4" w:space="0"/>
            </w:tcBorders>
            <w:noWrap/>
            <w:vAlign w:val="center"/>
          </w:tcPr>
          <w:p w14:paraId="2B04473C">
            <w:pPr>
              <w:rPr>
                <w:color w:val="000000"/>
                <w:sz w:val="22"/>
                <w:szCs w:val="22"/>
              </w:rPr>
            </w:pPr>
          </w:p>
        </w:tc>
        <w:tc>
          <w:tcPr>
            <w:tcW w:w="720" w:type="dxa"/>
            <w:tcBorders>
              <w:top w:val="single" w:color="000000" w:sz="4" w:space="0"/>
              <w:left w:val="nil"/>
              <w:bottom w:val="single" w:color="000000" w:sz="4" w:space="0"/>
              <w:right w:val="single" w:color="000000" w:sz="4" w:space="0"/>
            </w:tcBorders>
            <w:noWrap/>
            <w:vAlign w:val="center"/>
          </w:tcPr>
          <w:p w14:paraId="6F5B1EB4">
            <w:pPr>
              <w:rPr>
                <w:color w:val="000000"/>
                <w:sz w:val="22"/>
                <w:szCs w:val="22"/>
              </w:rPr>
            </w:pPr>
          </w:p>
        </w:tc>
        <w:tc>
          <w:tcPr>
            <w:tcW w:w="915" w:type="dxa"/>
            <w:tcBorders>
              <w:top w:val="single" w:color="000000" w:sz="4" w:space="0"/>
              <w:left w:val="nil"/>
              <w:bottom w:val="single" w:color="000000" w:sz="4" w:space="0"/>
              <w:right w:val="single" w:color="000000" w:sz="4" w:space="0"/>
            </w:tcBorders>
            <w:noWrap/>
            <w:vAlign w:val="center"/>
          </w:tcPr>
          <w:p w14:paraId="45C3870E">
            <w:pPr>
              <w:rPr>
                <w:color w:val="000000"/>
                <w:sz w:val="22"/>
                <w:szCs w:val="22"/>
              </w:rPr>
            </w:pPr>
          </w:p>
        </w:tc>
        <w:tc>
          <w:tcPr>
            <w:tcW w:w="690" w:type="dxa"/>
            <w:tcBorders>
              <w:top w:val="single" w:color="000000" w:sz="4" w:space="0"/>
              <w:left w:val="nil"/>
              <w:bottom w:val="single" w:color="000000" w:sz="4" w:space="0"/>
              <w:right w:val="single" w:color="000000" w:sz="4" w:space="0"/>
            </w:tcBorders>
            <w:noWrap/>
            <w:vAlign w:val="center"/>
          </w:tcPr>
          <w:p w14:paraId="44CE0A73">
            <w:pPr>
              <w:rPr>
                <w:color w:val="000000"/>
                <w:sz w:val="22"/>
                <w:szCs w:val="22"/>
              </w:rPr>
            </w:pPr>
          </w:p>
        </w:tc>
        <w:tc>
          <w:tcPr>
            <w:tcW w:w="705" w:type="dxa"/>
            <w:tcBorders>
              <w:top w:val="single" w:color="000000" w:sz="4" w:space="0"/>
              <w:left w:val="nil"/>
              <w:bottom w:val="single" w:color="000000" w:sz="4" w:space="0"/>
              <w:right w:val="single" w:color="000000" w:sz="4" w:space="0"/>
            </w:tcBorders>
            <w:noWrap/>
            <w:vAlign w:val="center"/>
          </w:tcPr>
          <w:p w14:paraId="6CDA7439">
            <w:pPr>
              <w:rPr>
                <w:color w:val="000000"/>
                <w:sz w:val="22"/>
                <w:szCs w:val="22"/>
              </w:rPr>
            </w:pPr>
          </w:p>
        </w:tc>
        <w:tc>
          <w:tcPr>
            <w:tcW w:w="945" w:type="dxa"/>
            <w:tcBorders>
              <w:top w:val="single" w:color="000000" w:sz="4" w:space="0"/>
              <w:left w:val="nil"/>
              <w:bottom w:val="single" w:color="000000" w:sz="4" w:space="0"/>
              <w:right w:val="single" w:color="000000" w:sz="4" w:space="0"/>
            </w:tcBorders>
            <w:noWrap/>
            <w:vAlign w:val="center"/>
          </w:tcPr>
          <w:p w14:paraId="51E7B3E9">
            <w:pPr>
              <w:rPr>
                <w:color w:val="000000"/>
                <w:sz w:val="22"/>
                <w:szCs w:val="22"/>
              </w:rPr>
            </w:pPr>
          </w:p>
        </w:tc>
        <w:tc>
          <w:tcPr>
            <w:tcW w:w="780" w:type="dxa"/>
            <w:tcBorders>
              <w:top w:val="single" w:color="000000" w:sz="4" w:space="0"/>
              <w:left w:val="nil"/>
              <w:bottom w:val="single" w:color="000000" w:sz="4" w:space="0"/>
              <w:right w:val="single" w:color="000000" w:sz="4" w:space="0"/>
            </w:tcBorders>
            <w:noWrap/>
            <w:vAlign w:val="center"/>
          </w:tcPr>
          <w:p w14:paraId="4EE3C4DA">
            <w:pPr>
              <w:rPr>
                <w:color w:val="000000"/>
                <w:sz w:val="22"/>
                <w:szCs w:val="22"/>
              </w:rPr>
            </w:pPr>
          </w:p>
        </w:tc>
        <w:tc>
          <w:tcPr>
            <w:tcW w:w="795" w:type="dxa"/>
            <w:tcBorders>
              <w:top w:val="single" w:color="000000" w:sz="4" w:space="0"/>
              <w:left w:val="nil"/>
              <w:bottom w:val="single" w:color="000000" w:sz="4" w:space="0"/>
              <w:right w:val="single" w:color="000000" w:sz="4" w:space="0"/>
            </w:tcBorders>
            <w:noWrap/>
            <w:vAlign w:val="center"/>
          </w:tcPr>
          <w:p w14:paraId="0406A502">
            <w:pPr>
              <w:rPr>
                <w:color w:val="000000"/>
                <w:sz w:val="22"/>
                <w:szCs w:val="22"/>
              </w:rPr>
            </w:pPr>
          </w:p>
        </w:tc>
        <w:tc>
          <w:tcPr>
            <w:tcW w:w="780" w:type="dxa"/>
            <w:vMerge w:val="continue"/>
            <w:tcBorders>
              <w:top w:val="nil"/>
              <w:left w:val="nil"/>
              <w:bottom w:val="single" w:color="000000" w:sz="4" w:space="0"/>
              <w:right w:val="single" w:color="000000" w:sz="4" w:space="0"/>
            </w:tcBorders>
            <w:vAlign w:val="center"/>
          </w:tcPr>
          <w:p w14:paraId="272AD1AC">
            <w:pPr>
              <w:rPr>
                <w:rFonts w:ascii="Times New Roman" w:hAnsi="Times New Roman" w:eastAsia="方正仿宋_GBK" w:cs="Times New Roman"/>
                <w:color w:val="000000"/>
                <w:sz w:val="22"/>
                <w:szCs w:val="22"/>
              </w:rPr>
            </w:pPr>
          </w:p>
        </w:tc>
      </w:tr>
      <w:tr w14:paraId="393E6B50">
        <w:tblPrEx>
          <w:tblCellMar>
            <w:top w:w="0" w:type="dxa"/>
            <w:left w:w="108" w:type="dxa"/>
            <w:bottom w:w="0" w:type="dxa"/>
            <w:right w:w="108" w:type="dxa"/>
          </w:tblCellMar>
        </w:tblPrEx>
        <w:trPr>
          <w:trHeight w:val="432" w:hRule="atLeast"/>
        </w:trPr>
        <w:tc>
          <w:tcPr>
            <w:tcW w:w="8355" w:type="dxa"/>
            <w:vMerge w:val="continue"/>
            <w:tcBorders>
              <w:top w:val="nil"/>
              <w:left w:val="single" w:color="000000" w:sz="4" w:space="0"/>
              <w:bottom w:val="nil"/>
              <w:right w:val="single" w:color="000000" w:sz="4" w:space="0"/>
            </w:tcBorders>
            <w:vAlign w:val="center"/>
          </w:tcPr>
          <w:p w14:paraId="1012BC48">
            <w:pPr>
              <w:rPr>
                <w:rFonts w:ascii="Times New Roman" w:hAnsi="Times New Roman" w:eastAsia="方正仿宋_GBK" w:cs="Times New Roman"/>
                <w:color w:val="000000"/>
                <w:sz w:val="22"/>
                <w:szCs w:val="22"/>
              </w:rPr>
            </w:pPr>
          </w:p>
        </w:tc>
        <w:tc>
          <w:tcPr>
            <w:tcW w:w="750" w:type="dxa"/>
            <w:vMerge w:val="continue"/>
            <w:tcBorders>
              <w:top w:val="nil"/>
              <w:left w:val="nil"/>
              <w:bottom w:val="single" w:color="000000" w:sz="4" w:space="0"/>
              <w:right w:val="single" w:color="000000" w:sz="4" w:space="0"/>
            </w:tcBorders>
            <w:vAlign w:val="center"/>
          </w:tcPr>
          <w:p w14:paraId="5CD0E00A">
            <w:pPr>
              <w:rPr>
                <w:rFonts w:ascii="Times New Roman" w:hAnsi="Times New Roman" w:eastAsia="方正仿宋_GBK" w:cs="Times New Roman"/>
                <w:color w:val="000000"/>
                <w:sz w:val="22"/>
                <w:szCs w:val="22"/>
              </w:rPr>
            </w:pPr>
          </w:p>
        </w:tc>
        <w:tc>
          <w:tcPr>
            <w:tcW w:w="675" w:type="dxa"/>
            <w:tcBorders>
              <w:top w:val="single" w:color="000000" w:sz="4" w:space="0"/>
              <w:left w:val="nil"/>
              <w:bottom w:val="single" w:color="000000" w:sz="4" w:space="0"/>
              <w:right w:val="single" w:color="000000" w:sz="4" w:space="0"/>
            </w:tcBorders>
            <w:noWrap/>
            <w:vAlign w:val="center"/>
          </w:tcPr>
          <w:p w14:paraId="01B37CB8">
            <w:pPr>
              <w:rPr>
                <w:color w:val="000000"/>
                <w:sz w:val="22"/>
                <w:szCs w:val="22"/>
              </w:rPr>
            </w:pPr>
          </w:p>
        </w:tc>
        <w:tc>
          <w:tcPr>
            <w:tcW w:w="720" w:type="dxa"/>
            <w:tcBorders>
              <w:top w:val="single" w:color="000000" w:sz="4" w:space="0"/>
              <w:left w:val="nil"/>
              <w:bottom w:val="single" w:color="000000" w:sz="4" w:space="0"/>
              <w:right w:val="single" w:color="000000" w:sz="4" w:space="0"/>
            </w:tcBorders>
            <w:noWrap/>
            <w:vAlign w:val="center"/>
          </w:tcPr>
          <w:p w14:paraId="06AF6F0F">
            <w:pPr>
              <w:rPr>
                <w:color w:val="000000"/>
                <w:sz w:val="22"/>
                <w:szCs w:val="22"/>
              </w:rPr>
            </w:pPr>
          </w:p>
        </w:tc>
        <w:tc>
          <w:tcPr>
            <w:tcW w:w="915" w:type="dxa"/>
            <w:tcBorders>
              <w:top w:val="single" w:color="000000" w:sz="4" w:space="0"/>
              <w:left w:val="nil"/>
              <w:bottom w:val="single" w:color="000000" w:sz="4" w:space="0"/>
              <w:right w:val="single" w:color="000000" w:sz="4" w:space="0"/>
            </w:tcBorders>
            <w:noWrap/>
            <w:vAlign w:val="center"/>
          </w:tcPr>
          <w:p w14:paraId="08C322BC">
            <w:pPr>
              <w:rPr>
                <w:color w:val="000000"/>
                <w:sz w:val="22"/>
                <w:szCs w:val="22"/>
              </w:rPr>
            </w:pPr>
          </w:p>
        </w:tc>
        <w:tc>
          <w:tcPr>
            <w:tcW w:w="690" w:type="dxa"/>
            <w:tcBorders>
              <w:top w:val="single" w:color="000000" w:sz="4" w:space="0"/>
              <w:left w:val="nil"/>
              <w:bottom w:val="single" w:color="000000" w:sz="4" w:space="0"/>
              <w:right w:val="single" w:color="000000" w:sz="4" w:space="0"/>
            </w:tcBorders>
            <w:noWrap/>
            <w:vAlign w:val="center"/>
          </w:tcPr>
          <w:p w14:paraId="7C1B1B91">
            <w:pPr>
              <w:rPr>
                <w:color w:val="000000"/>
                <w:sz w:val="22"/>
                <w:szCs w:val="22"/>
              </w:rPr>
            </w:pPr>
          </w:p>
        </w:tc>
        <w:tc>
          <w:tcPr>
            <w:tcW w:w="705" w:type="dxa"/>
            <w:tcBorders>
              <w:top w:val="single" w:color="000000" w:sz="4" w:space="0"/>
              <w:left w:val="nil"/>
              <w:bottom w:val="single" w:color="000000" w:sz="4" w:space="0"/>
              <w:right w:val="single" w:color="000000" w:sz="4" w:space="0"/>
            </w:tcBorders>
            <w:noWrap/>
            <w:vAlign w:val="center"/>
          </w:tcPr>
          <w:p w14:paraId="67E83883">
            <w:pPr>
              <w:rPr>
                <w:color w:val="000000"/>
                <w:sz w:val="22"/>
                <w:szCs w:val="22"/>
              </w:rPr>
            </w:pPr>
          </w:p>
        </w:tc>
        <w:tc>
          <w:tcPr>
            <w:tcW w:w="945" w:type="dxa"/>
            <w:tcBorders>
              <w:top w:val="single" w:color="000000" w:sz="4" w:space="0"/>
              <w:left w:val="nil"/>
              <w:bottom w:val="single" w:color="000000" w:sz="4" w:space="0"/>
              <w:right w:val="single" w:color="000000" w:sz="4" w:space="0"/>
            </w:tcBorders>
            <w:noWrap/>
            <w:vAlign w:val="center"/>
          </w:tcPr>
          <w:p w14:paraId="7145FBC2">
            <w:pPr>
              <w:rPr>
                <w:color w:val="000000"/>
                <w:sz w:val="22"/>
                <w:szCs w:val="22"/>
              </w:rPr>
            </w:pPr>
          </w:p>
        </w:tc>
        <w:tc>
          <w:tcPr>
            <w:tcW w:w="780" w:type="dxa"/>
            <w:tcBorders>
              <w:top w:val="single" w:color="000000" w:sz="4" w:space="0"/>
              <w:left w:val="nil"/>
              <w:bottom w:val="single" w:color="000000" w:sz="4" w:space="0"/>
              <w:right w:val="single" w:color="000000" w:sz="4" w:space="0"/>
            </w:tcBorders>
            <w:noWrap/>
            <w:vAlign w:val="center"/>
          </w:tcPr>
          <w:p w14:paraId="43A6EEBA">
            <w:pPr>
              <w:rPr>
                <w:color w:val="000000"/>
                <w:sz w:val="22"/>
                <w:szCs w:val="22"/>
              </w:rPr>
            </w:pPr>
          </w:p>
        </w:tc>
        <w:tc>
          <w:tcPr>
            <w:tcW w:w="795" w:type="dxa"/>
            <w:tcBorders>
              <w:top w:val="single" w:color="000000" w:sz="4" w:space="0"/>
              <w:left w:val="nil"/>
              <w:bottom w:val="single" w:color="000000" w:sz="4" w:space="0"/>
              <w:right w:val="single" w:color="000000" w:sz="4" w:space="0"/>
            </w:tcBorders>
            <w:noWrap/>
            <w:vAlign w:val="center"/>
          </w:tcPr>
          <w:p w14:paraId="4014364C">
            <w:pPr>
              <w:rPr>
                <w:color w:val="000000"/>
                <w:sz w:val="22"/>
                <w:szCs w:val="22"/>
              </w:rPr>
            </w:pPr>
          </w:p>
        </w:tc>
        <w:tc>
          <w:tcPr>
            <w:tcW w:w="780" w:type="dxa"/>
            <w:vMerge w:val="continue"/>
            <w:tcBorders>
              <w:top w:val="nil"/>
              <w:left w:val="nil"/>
              <w:bottom w:val="single" w:color="000000" w:sz="4" w:space="0"/>
              <w:right w:val="single" w:color="000000" w:sz="4" w:space="0"/>
            </w:tcBorders>
            <w:vAlign w:val="center"/>
          </w:tcPr>
          <w:p w14:paraId="3B556EDC">
            <w:pPr>
              <w:rPr>
                <w:rFonts w:ascii="Times New Roman" w:hAnsi="Times New Roman" w:eastAsia="方正仿宋_GBK" w:cs="Times New Roman"/>
                <w:color w:val="000000"/>
                <w:sz w:val="22"/>
                <w:szCs w:val="22"/>
              </w:rPr>
            </w:pPr>
          </w:p>
        </w:tc>
      </w:tr>
      <w:tr w14:paraId="13837941">
        <w:tblPrEx>
          <w:tblCellMar>
            <w:top w:w="0" w:type="dxa"/>
            <w:left w:w="108" w:type="dxa"/>
            <w:bottom w:w="0" w:type="dxa"/>
            <w:right w:w="108" w:type="dxa"/>
          </w:tblCellMar>
        </w:tblPrEx>
        <w:trPr>
          <w:trHeight w:val="432" w:hRule="atLeast"/>
        </w:trPr>
        <w:tc>
          <w:tcPr>
            <w:tcW w:w="8355" w:type="dxa"/>
            <w:vMerge w:val="continue"/>
            <w:tcBorders>
              <w:top w:val="nil"/>
              <w:left w:val="single" w:color="000000" w:sz="4" w:space="0"/>
              <w:bottom w:val="nil"/>
              <w:right w:val="single" w:color="000000" w:sz="4" w:space="0"/>
            </w:tcBorders>
            <w:vAlign w:val="center"/>
          </w:tcPr>
          <w:p w14:paraId="583405EB">
            <w:pPr>
              <w:rPr>
                <w:rFonts w:ascii="Times New Roman" w:hAnsi="Times New Roman" w:eastAsia="方正仿宋_GBK" w:cs="Times New Roman"/>
                <w:color w:val="000000"/>
                <w:sz w:val="22"/>
                <w:szCs w:val="22"/>
              </w:rPr>
            </w:pPr>
          </w:p>
        </w:tc>
        <w:tc>
          <w:tcPr>
            <w:tcW w:w="750" w:type="dxa"/>
            <w:vMerge w:val="continue"/>
            <w:tcBorders>
              <w:top w:val="nil"/>
              <w:left w:val="nil"/>
              <w:bottom w:val="single" w:color="000000" w:sz="4" w:space="0"/>
              <w:right w:val="single" w:color="000000" w:sz="4" w:space="0"/>
            </w:tcBorders>
            <w:vAlign w:val="center"/>
          </w:tcPr>
          <w:p w14:paraId="717F7068">
            <w:pPr>
              <w:rPr>
                <w:rFonts w:ascii="Times New Roman" w:hAnsi="Times New Roman" w:eastAsia="方正仿宋_GBK" w:cs="Times New Roman"/>
                <w:color w:val="000000"/>
                <w:sz w:val="22"/>
                <w:szCs w:val="22"/>
              </w:rPr>
            </w:pPr>
          </w:p>
        </w:tc>
        <w:tc>
          <w:tcPr>
            <w:tcW w:w="675" w:type="dxa"/>
            <w:tcBorders>
              <w:top w:val="single" w:color="000000" w:sz="4" w:space="0"/>
              <w:left w:val="nil"/>
              <w:bottom w:val="single" w:color="000000" w:sz="4" w:space="0"/>
              <w:right w:val="single" w:color="000000" w:sz="4" w:space="0"/>
            </w:tcBorders>
            <w:noWrap/>
            <w:vAlign w:val="center"/>
          </w:tcPr>
          <w:p w14:paraId="0A64457C">
            <w:pPr>
              <w:rPr>
                <w:color w:val="000000"/>
                <w:sz w:val="22"/>
                <w:szCs w:val="22"/>
              </w:rPr>
            </w:pPr>
          </w:p>
        </w:tc>
        <w:tc>
          <w:tcPr>
            <w:tcW w:w="720" w:type="dxa"/>
            <w:tcBorders>
              <w:top w:val="single" w:color="000000" w:sz="4" w:space="0"/>
              <w:left w:val="nil"/>
              <w:bottom w:val="single" w:color="000000" w:sz="4" w:space="0"/>
              <w:right w:val="single" w:color="000000" w:sz="4" w:space="0"/>
            </w:tcBorders>
            <w:noWrap/>
            <w:vAlign w:val="center"/>
          </w:tcPr>
          <w:p w14:paraId="34D5CB8A">
            <w:pPr>
              <w:rPr>
                <w:color w:val="000000"/>
                <w:sz w:val="22"/>
                <w:szCs w:val="22"/>
              </w:rPr>
            </w:pPr>
          </w:p>
        </w:tc>
        <w:tc>
          <w:tcPr>
            <w:tcW w:w="915" w:type="dxa"/>
            <w:tcBorders>
              <w:top w:val="single" w:color="000000" w:sz="4" w:space="0"/>
              <w:left w:val="nil"/>
              <w:bottom w:val="single" w:color="000000" w:sz="4" w:space="0"/>
              <w:right w:val="single" w:color="000000" w:sz="4" w:space="0"/>
            </w:tcBorders>
            <w:noWrap/>
            <w:vAlign w:val="center"/>
          </w:tcPr>
          <w:p w14:paraId="53B206FC">
            <w:pPr>
              <w:rPr>
                <w:color w:val="000000"/>
                <w:sz w:val="22"/>
                <w:szCs w:val="22"/>
              </w:rPr>
            </w:pPr>
          </w:p>
        </w:tc>
        <w:tc>
          <w:tcPr>
            <w:tcW w:w="690" w:type="dxa"/>
            <w:tcBorders>
              <w:top w:val="single" w:color="000000" w:sz="4" w:space="0"/>
              <w:left w:val="nil"/>
              <w:bottom w:val="single" w:color="000000" w:sz="4" w:space="0"/>
              <w:right w:val="single" w:color="000000" w:sz="4" w:space="0"/>
            </w:tcBorders>
            <w:noWrap/>
            <w:vAlign w:val="center"/>
          </w:tcPr>
          <w:p w14:paraId="52837284">
            <w:pPr>
              <w:rPr>
                <w:color w:val="000000"/>
                <w:sz w:val="22"/>
                <w:szCs w:val="22"/>
              </w:rPr>
            </w:pPr>
          </w:p>
        </w:tc>
        <w:tc>
          <w:tcPr>
            <w:tcW w:w="705" w:type="dxa"/>
            <w:tcBorders>
              <w:top w:val="single" w:color="000000" w:sz="4" w:space="0"/>
              <w:left w:val="nil"/>
              <w:bottom w:val="single" w:color="000000" w:sz="4" w:space="0"/>
              <w:right w:val="single" w:color="000000" w:sz="4" w:space="0"/>
            </w:tcBorders>
            <w:noWrap/>
            <w:vAlign w:val="center"/>
          </w:tcPr>
          <w:p w14:paraId="55BEF687">
            <w:pPr>
              <w:rPr>
                <w:color w:val="000000"/>
                <w:sz w:val="22"/>
                <w:szCs w:val="22"/>
              </w:rPr>
            </w:pPr>
          </w:p>
        </w:tc>
        <w:tc>
          <w:tcPr>
            <w:tcW w:w="945" w:type="dxa"/>
            <w:tcBorders>
              <w:top w:val="single" w:color="000000" w:sz="4" w:space="0"/>
              <w:left w:val="nil"/>
              <w:bottom w:val="single" w:color="000000" w:sz="4" w:space="0"/>
              <w:right w:val="single" w:color="000000" w:sz="4" w:space="0"/>
            </w:tcBorders>
            <w:noWrap/>
            <w:vAlign w:val="center"/>
          </w:tcPr>
          <w:p w14:paraId="1F256C79">
            <w:pPr>
              <w:rPr>
                <w:color w:val="000000"/>
                <w:sz w:val="22"/>
                <w:szCs w:val="22"/>
              </w:rPr>
            </w:pPr>
          </w:p>
        </w:tc>
        <w:tc>
          <w:tcPr>
            <w:tcW w:w="780" w:type="dxa"/>
            <w:tcBorders>
              <w:top w:val="single" w:color="000000" w:sz="4" w:space="0"/>
              <w:left w:val="nil"/>
              <w:bottom w:val="single" w:color="000000" w:sz="4" w:space="0"/>
              <w:right w:val="single" w:color="000000" w:sz="4" w:space="0"/>
            </w:tcBorders>
            <w:noWrap/>
            <w:vAlign w:val="center"/>
          </w:tcPr>
          <w:p w14:paraId="7602A363">
            <w:pPr>
              <w:rPr>
                <w:color w:val="000000"/>
                <w:sz w:val="22"/>
                <w:szCs w:val="22"/>
              </w:rPr>
            </w:pPr>
          </w:p>
        </w:tc>
        <w:tc>
          <w:tcPr>
            <w:tcW w:w="795" w:type="dxa"/>
            <w:tcBorders>
              <w:top w:val="single" w:color="000000" w:sz="4" w:space="0"/>
              <w:left w:val="nil"/>
              <w:bottom w:val="single" w:color="000000" w:sz="4" w:space="0"/>
              <w:right w:val="single" w:color="000000" w:sz="4" w:space="0"/>
            </w:tcBorders>
            <w:noWrap/>
            <w:vAlign w:val="center"/>
          </w:tcPr>
          <w:p w14:paraId="69D25F68">
            <w:pPr>
              <w:rPr>
                <w:color w:val="000000"/>
                <w:sz w:val="22"/>
                <w:szCs w:val="22"/>
              </w:rPr>
            </w:pPr>
          </w:p>
        </w:tc>
        <w:tc>
          <w:tcPr>
            <w:tcW w:w="780" w:type="dxa"/>
            <w:vMerge w:val="continue"/>
            <w:tcBorders>
              <w:top w:val="nil"/>
              <w:left w:val="nil"/>
              <w:bottom w:val="single" w:color="000000" w:sz="4" w:space="0"/>
              <w:right w:val="single" w:color="000000" w:sz="4" w:space="0"/>
            </w:tcBorders>
            <w:vAlign w:val="center"/>
          </w:tcPr>
          <w:p w14:paraId="0F7756E8">
            <w:pPr>
              <w:rPr>
                <w:rFonts w:ascii="Times New Roman" w:hAnsi="Times New Roman" w:eastAsia="方正仿宋_GBK" w:cs="Times New Roman"/>
                <w:color w:val="000000"/>
                <w:sz w:val="22"/>
                <w:szCs w:val="22"/>
              </w:rPr>
            </w:pPr>
          </w:p>
        </w:tc>
      </w:tr>
    </w:tbl>
    <w:p w14:paraId="532923E5">
      <w:pPr>
        <w:pStyle w:val="4"/>
        <w:autoSpaceDE w:val="0"/>
        <w:spacing w:before="0" w:beforeAutospacing="0" w:line="579" w:lineRule="exact"/>
        <w:jc w:val="both"/>
        <w:rPr>
          <w:rFonts w:hint="eastAsia" w:ascii="Times New Roman" w:hAnsi="Times New Roman" w:eastAsia="方正仿宋_GBK" w:cs="Times New Roman"/>
          <w:sz w:val="32"/>
          <w:szCs w:val="32"/>
          <w:shd w:val="clear" w:color="auto" w:fill="FFFFFF"/>
        </w:rPr>
      </w:pPr>
    </w:p>
    <w:p w14:paraId="12D501C5">
      <w:pPr>
        <w:pStyle w:val="4"/>
        <w:autoSpaceDE w:val="0"/>
        <w:spacing w:before="0" w:beforeAutospacing="0" w:line="579" w:lineRule="exact"/>
        <w:ind w:firstLine="643" w:firstLineChars="200"/>
        <w:jc w:val="both"/>
        <w:rPr>
          <w:rFonts w:ascii="Times New Roman" w:hAnsi="Times New Roman" w:eastAsia="方正仿宋_GBK" w:cs="Times New Roman"/>
          <w:sz w:val="32"/>
          <w:szCs w:val="32"/>
        </w:rPr>
      </w:pPr>
      <w:r>
        <w:rPr>
          <w:rStyle w:val="6"/>
          <w:rFonts w:eastAsia="方正仿宋_GBK"/>
          <w:sz w:val="32"/>
          <w:szCs w:val="32"/>
          <w:shd w:val="clear" w:color="auto" w:fill="FFFFFF"/>
        </w:rPr>
        <w:t>2.</w:t>
      </w:r>
      <w:r>
        <w:rPr>
          <w:rStyle w:val="6"/>
          <w:rFonts w:hint="eastAsia" w:ascii="方正仿宋_GBK" w:eastAsia="方正仿宋_GBK"/>
          <w:sz w:val="32"/>
          <w:szCs w:val="32"/>
          <w:shd w:val="clear" w:color="auto" w:fill="FFFFFF"/>
        </w:rPr>
        <w:t>绩效自评报告或案例。</w:t>
      </w:r>
    </w:p>
    <w:p w14:paraId="2952CDB4">
      <w:pPr>
        <w:pStyle w:val="4"/>
        <w:autoSpaceDE w:val="0"/>
        <w:spacing w:before="0" w:beforeAutospacing="0" w:line="579" w:lineRule="exact"/>
        <w:ind w:firstLine="640" w:firstLineChars="200"/>
        <w:jc w:val="both"/>
        <w:rPr>
          <w:rFonts w:ascii="Times New Roman" w:hAnsi="Times New Roman" w:eastAsia="方正仿宋_GBK" w:cs="Times New Roman"/>
          <w:sz w:val="32"/>
          <w:szCs w:val="32"/>
          <w:shd w:val="clear" w:color="auto" w:fill="FFFFFF"/>
        </w:rPr>
      </w:pPr>
      <w:r>
        <w:rPr>
          <w:rFonts w:hint="eastAsia" w:ascii="方正仿宋_GBK" w:eastAsia="方正仿宋_GBK"/>
          <w:sz w:val="32"/>
          <w:szCs w:val="32"/>
          <w:shd w:val="clear" w:color="auto" w:fill="FFFFFF"/>
        </w:rPr>
        <w:t>无</w:t>
      </w:r>
    </w:p>
    <w:p w14:paraId="5EDC9287">
      <w:pPr>
        <w:pStyle w:val="4"/>
        <w:autoSpaceDE w:val="0"/>
        <w:spacing w:before="0" w:beforeAutospacing="0" w:line="579" w:lineRule="exact"/>
        <w:ind w:firstLine="643" w:firstLineChars="200"/>
        <w:jc w:val="both"/>
        <w:rPr>
          <w:rFonts w:hint="eastAsia" w:ascii="Times New Roman" w:hAnsi="Times New Roman" w:eastAsia="方正仿宋_GBK" w:cs="Times New Roman"/>
          <w:sz w:val="32"/>
          <w:szCs w:val="32"/>
        </w:rPr>
      </w:pPr>
      <w:r>
        <w:rPr>
          <w:rStyle w:val="6"/>
          <w:rFonts w:eastAsia="方正仿宋_GBK"/>
          <w:sz w:val="32"/>
          <w:szCs w:val="32"/>
          <w:shd w:val="clear" w:color="auto" w:fill="FFFFFF"/>
        </w:rPr>
        <w:t>3.</w:t>
      </w:r>
      <w:r>
        <w:rPr>
          <w:rStyle w:val="6"/>
          <w:rFonts w:hint="eastAsia" w:ascii="方正仿宋_GBK" w:eastAsia="方正仿宋_GBK"/>
          <w:sz w:val="32"/>
          <w:szCs w:val="32"/>
          <w:shd w:val="clear" w:color="auto" w:fill="FFFFFF"/>
        </w:rPr>
        <w:t>关于绩效自评结果的说明。</w:t>
      </w:r>
    </w:p>
    <w:p w14:paraId="0AA052F6">
      <w:pPr>
        <w:pStyle w:val="4"/>
        <w:autoSpaceDE w:val="0"/>
        <w:spacing w:before="0" w:beforeAutospacing="0" w:line="579" w:lineRule="exact"/>
        <w:ind w:firstLine="640" w:firstLineChars="200"/>
        <w:jc w:val="both"/>
        <w:rPr>
          <w:rFonts w:ascii="Times New Roman" w:hAnsi="Times New Roman" w:eastAsia="方正仿宋_GBK" w:cs="Times New Roman"/>
          <w:sz w:val="32"/>
          <w:szCs w:val="32"/>
          <w:shd w:val="clear" w:color="auto" w:fill="FFFFFF"/>
        </w:rPr>
      </w:pPr>
      <w:r>
        <w:rPr>
          <w:rFonts w:hint="eastAsia" w:ascii="方正仿宋_GBK" w:eastAsia="方正仿宋_GBK"/>
          <w:sz w:val="32"/>
          <w:szCs w:val="32"/>
          <w:shd w:val="clear" w:color="auto" w:fill="FFFFFF"/>
        </w:rPr>
        <w:t>无</w:t>
      </w:r>
    </w:p>
    <w:p w14:paraId="6955E287">
      <w:pPr>
        <w:pStyle w:val="4"/>
        <w:autoSpaceDE w:val="0"/>
        <w:spacing w:before="0" w:beforeAutospacing="0" w:line="579" w:lineRule="exact"/>
        <w:ind w:firstLine="640" w:firstLineChars="200"/>
        <w:jc w:val="both"/>
        <w:rPr>
          <w:rFonts w:hint="eastAsia"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（三）重点绩效评价结果。</w:t>
      </w:r>
    </w:p>
    <w:p w14:paraId="2B57DBDF">
      <w:pPr>
        <w:pStyle w:val="4"/>
        <w:autoSpaceDE w:val="0"/>
        <w:spacing w:before="0" w:beforeAutospacing="0" w:line="579" w:lineRule="exact"/>
        <w:ind w:firstLine="640" w:firstLineChars="200"/>
        <w:jc w:val="both"/>
        <w:rPr>
          <w:rFonts w:ascii="Times New Roman" w:hAnsi="Times New Roman" w:eastAsia="方正仿宋_GBK" w:cs="Times New Roman"/>
          <w:sz w:val="32"/>
          <w:szCs w:val="32"/>
          <w:shd w:val="clear" w:color="auto" w:fill="FFFFFF"/>
        </w:rPr>
      </w:pPr>
      <w:r>
        <w:rPr>
          <w:rFonts w:hint="eastAsia" w:ascii="方正仿宋_GBK" w:eastAsia="方正仿宋_GBK"/>
          <w:sz w:val="32"/>
          <w:szCs w:val="32"/>
          <w:shd w:val="clear" w:color="auto" w:fill="FFFFFF"/>
        </w:rPr>
        <w:t>无</w:t>
      </w:r>
    </w:p>
    <w:p w14:paraId="3BB4B0EB">
      <w:pPr>
        <w:pStyle w:val="4"/>
        <w:autoSpaceDE w:val="0"/>
        <w:spacing w:before="0" w:beforeAutospacing="0" w:line="579" w:lineRule="exact"/>
        <w:ind w:firstLine="640" w:firstLineChars="200"/>
        <w:jc w:val="both"/>
        <w:rPr>
          <w:rFonts w:hint="eastAsia" w:ascii="Times New Roman" w:hAnsi="Times New Roman" w:eastAsia="方正仿宋_GBK" w:cs="Times New Roman"/>
          <w:sz w:val="32"/>
          <w:szCs w:val="32"/>
        </w:rPr>
      </w:pPr>
      <w:r>
        <w:rPr>
          <w:rStyle w:val="6"/>
          <w:rFonts w:hint="eastAsia" w:ascii="方正黑体_GBK" w:eastAsia="方正黑体_GBK"/>
          <w:b w:val="0"/>
          <w:bCs w:val="0"/>
          <w:sz w:val="32"/>
          <w:szCs w:val="32"/>
          <w:shd w:val="clear" w:color="auto" w:fill="FFFFFF"/>
        </w:rPr>
        <w:t>六、专业名词解释</w:t>
      </w:r>
    </w:p>
    <w:p w14:paraId="65801CA1">
      <w:pPr>
        <w:pStyle w:val="4"/>
        <w:autoSpaceDE w:val="0"/>
        <w:spacing w:before="0" w:before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（一）财政拨款收入：</w:t>
      </w:r>
      <w:r>
        <w:rPr>
          <w:rFonts w:hint="eastAsia" w:ascii="方正仿宋_GBK" w:eastAsia="方正仿宋_GBK"/>
          <w:sz w:val="32"/>
          <w:szCs w:val="32"/>
          <w:shd w:val="clear" w:color="auto" w:fill="FFFFFF"/>
        </w:rPr>
        <w:t>指本年度从本级财政部门取得的财政拨款，包括一般公共预算财政拨款和政府性基金预算财政拨款。</w:t>
      </w:r>
    </w:p>
    <w:p w14:paraId="48C26E45">
      <w:pPr>
        <w:pStyle w:val="4"/>
        <w:autoSpaceDE w:val="0"/>
        <w:spacing w:before="0" w:before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（二）事业收入：</w:t>
      </w:r>
      <w:r>
        <w:rPr>
          <w:rFonts w:hint="eastAsia" w:ascii="方正仿宋_GBK" w:eastAsia="方正仿宋_GBK"/>
          <w:sz w:val="32"/>
          <w:szCs w:val="32"/>
          <w:shd w:val="clear" w:color="auto" w:fill="FFFFFF"/>
        </w:rPr>
        <w:t>指事业单位开展专业业务活动及其辅助活动取得的现金流入；事业单位收到的财政专户实际核拨的教育收费等资金在此反映。</w:t>
      </w:r>
    </w:p>
    <w:p w14:paraId="666D2A4F">
      <w:pPr>
        <w:pStyle w:val="4"/>
        <w:autoSpaceDE w:val="0"/>
        <w:spacing w:before="0" w:before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（三）经营收入：</w:t>
      </w:r>
      <w:r>
        <w:rPr>
          <w:rFonts w:hint="eastAsia" w:ascii="方正仿宋_GBK" w:eastAsia="方正仿宋_GBK"/>
          <w:sz w:val="32"/>
          <w:szCs w:val="32"/>
          <w:shd w:val="clear" w:color="auto" w:fill="FFFFFF"/>
        </w:rPr>
        <w:t>指事业单位在专业业务活动及其辅助活动之外开展非独立核算经营活动取得的现金流入。</w:t>
      </w:r>
    </w:p>
    <w:p w14:paraId="065CF5AA">
      <w:pPr>
        <w:pStyle w:val="4"/>
        <w:autoSpaceDE w:val="0"/>
        <w:spacing w:before="0" w:before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（四）其他收入：</w:t>
      </w:r>
      <w:r>
        <w:rPr>
          <w:rFonts w:hint="eastAsia" w:ascii="方正仿宋_GBK" w:eastAsia="方正仿宋_GBK"/>
          <w:sz w:val="32"/>
          <w:szCs w:val="32"/>
          <w:shd w:val="clear" w:color="auto" w:fill="FFFFFF"/>
        </w:rPr>
        <w:t>指单位取得的除</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财政拨款收入</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事业收入</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经营收入</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41F6A31">
      <w:pPr>
        <w:pStyle w:val="4"/>
        <w:autoSpaceDE w:val="0"/>
        <w:spacing w:before="0" w:before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（五）使用非财政拨款结余：</w:t>
      </w:r>
      <w:r>
        <w:rPr>
          <w:rFonts w:hint="eastAsia" w:ascii="方正仿宋_GBK" w:eastAsia="方正仿宋_GBK"/>
          <w:sz w:val="32"/>
          <w:szCs w:val="32"/>
          <w:shd w:val="clear" w:color="auto" w:fill="FFFFFF"/>
        </w:rPr>
        <w:t>指单位在当年的</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财政拨款收入</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事业收入</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经营收入</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其他收入</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等不足以安排当年支出的情况下，使用以前年度积累的非财政拨款结余弥补本年度收支缺口的资金。</w:t>
      </w:r>
    </w:p>
    <w:p w14:paraId="685EDC2D">
      <w:pPr>
        <w:pStyle w:val="4"/>
        <w:autoSpaceDE w:val="0"/>
        <w:spacing w:before="0" w:before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（六）年初结转和结余：</w:t>
      </w:r>
      <w:r>
        <w:rPr>
          <w:rFonts w:hint="eastAsia" w:ascii="方正仿宋_GBK" w:eastAsia="方正仿宋_GBK"/>
          <w:sz w:val="32"/>
          <w:szCs w:val="32"/>
          <w:shd w:val="clear" w:color="auto" w:fill="FFFFFF"/>
        </w:rPr>
        <w:t>指单位上年结转本年使用的基本支出结转、项目支出结转和结余、经营结余。</w:t>
      </w:r>
    </w:p>
    <w:p w14:paraId="60ED8E2A">
      <w:pPr>
        <w:pStyle w:val="4"/>
        <w:autoSpaceDE w:val="0"/>
        <w:spacing w:before="0" w:before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（七）结余分配：</w:t>
      </w:r>
      <w:r>
        <w:rPr>
          <w:rFonts w:hint="eastAsia" w:ascii="方正仿宋_GBK" w:eastAsia="方正仿宋_GBK"/>
          <w:sz w:val="32"/>
          <w:szCs w:val="32"/>
          <w:shd w:val="clear" w:color="auto" w:fill="FFFFFF"/>
        </w:rPr>
        <w:t>指单位按照国家有关规定，缴纳所得税、提取专用基金、转入非财政拨款结余等当年结余的分配情况。</w:t>
      </w:r>
    </w:p>
    <w:p w14:paraId="3E82D53C">
      <w:pPr>
        <w:pStyle w:val="4"/>
        <w:autoSpaceDE w:val="0"/>
        <w:spacing w:before="0" w:before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（八）年末结转和结余：</w:t>
      </w:r>
      <w:r>
        <w:rPr>
          <w:rFonts w:hint="eastAsia" w:ascii="方正仿宋_GBK" w:eastAsia="方正仿宋_GBK"/>
          <w:sz w:val="32"/>
          <w:szCs w:val="32"/>
          <w:shd w:val="clear" w:color="auto" w:fill="FFFFFF"/>
        </w:rPr>
        <w:t>指单位结转下年的基本支出结转、项目支出结转和结余、经营结余。</w:t>
      </w:r>
    </w:p>
    <w:p w14:paraId="11A33B30">
      <w:pPr>
        <w:pStyle w:val="4"/>
        <w:autoSpaceDE w:val="0"/>
        <w:spacing w:before="0" w:before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（九）基本支出：</w:t>
      </w:r>
      <w:r>
        <w:rPr>
          <w:rFonts w:hint="eastAsia" w:ascii="方正仿宋_GBK" w:eastAsia="方正仿宋_GBK"/>
          <w:sz w:val="32"/>
          <w:szCs w:val="32"/>
          <w:shd w:val="clear" w:color="auto" w:fill="FFFFFF"/>
        </w:rPr>
        <w:t>指为保障机构正常运转、完成日常工作任务而发生的人员经费和公用经费。其中：人员经费指政府收支分类经济科目中的</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工资福利支出</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和</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对个人和家庭的补助</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；公用经费指政府收支分类经济科目中除</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工资福利支出</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和</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对个人和家庭的补助</w:t>
      </w:r>
      <w:r>
        <w:rPr>
          <w:rFonts w:ascii="Times New Roman" w:hAnsi="Times New Roman" w:eastAsia="方正仿宋_GBK" w:cs="Times New Roman"/>
          <w:sz w:val="32"/>
          <w:szCs w:val="32"/>
          <w:shd w:val="clear" w:color="auto" w:fill="FFFFFF"/>
        </w:rPr>
        <w:t>”</w:t>
      </w:r>
      <w:r>
        <w:rPr>
          <w:rFonts w:hint="eastAsia" w:ascii="方正仿宋_GBK" w:eastAsia="方正仿宋_GBK"/>
          <w:sz w:val="32"/>
          <w:szCs w:val="32"/>
          <w:shd w:val="clear" w:color="auto" w:fill="FFFFFF"/>
        </w:rPr>
        <w:t>外的其他支出。</w:t>
      </w:r>
    </w:p>
    <w:p w14:paraId="660799B2">
      <w:pPr>
        <w:pStyle w:val="4"/>
        <w:autoSpaceDE w:val="0"/>
        <w:spacing w:before="0" w:before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（十）项目支出：</w:t>
      </w:r>
      <w:r>
        <w:rPr>
          <w:rFonts w:hint="eastAsia" w:ascii="方正仿宋_GBK" w:eastAsia="方正仿宋_GBK"/>
          <w:sz w:val="32"/>
          <w:szCs w:val="32"/>
          <w:shd w:val="clear" w:color="auto" w:fill="FFFFFF"/>
        </w:rPr>
        <w:t>指在基本支出之外为完成特定行政任务和事业发展目标所发生的支出。</w:t>
      </w:r>
    </w:p>
    <w:p w14:paraId="1C6AA5AC">
      <w:pPr>
        <w:pStyle w:val="4"/>
        <w:autoSpaceDE w:val="0"/>
        <w:spacing w:before="0" w:before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（十一）经营支出：</w:t>
      </w:r>
      <w:r>
        <w:rPr>
          <w:rFonts w:hint="eastAsia" w:ascii="方正仿宋_GBK" w:eastAsia="方正仿宋_GBK"/>
          <w:sz w:val="32"/>
          <w:szCs w:val="32"/>
          <w:shd w:val="clear" w:color="auto" w:fill="FFFFFF"/>
        </w:rPr>
        <w:t>指事业单位在专业业务活动及其辅助活动之外开展非独立核算经营活动发生的支出。</w:t>
      </w:r>
    </w:p>
    <w:p w14:paraId="63F7A7E2">
      <w:pPr>
        <w:pStyle w:val="4"/>
        <w:autoSpaceDE w:val="0"/>
        <w:spacing w:before="0" w:before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（十二）</w:t>
      </w:r>
      <w:r>
        <w:rPr>
          <w:rStyle w:val="6"/>
          <w:rFonts w:eastAsia="方正楷体_GBK"/>
          <w:b w:val="0"/>
          <w:bCs w:val="0"/>
          <w:sz w:val="32"/>
          <w:szCs w:val="32"/>
          <w:shd w:val="clear" w:color="auto" w:fill="FFFFFF"/>
        </w:rPr>
        <w:t>“</w:t>
      </w:r>
      <w:r>
        <w:rPr>
          <w:rStyle w:val="6"/>
          <w:rFonts w:hint="eastAsia" w:ascii="方正楷体_GBK" w:eastAsia="方正楷体_GBK"/>
          <w:b w:val="0"/>
          <w:bCs w:val="0"/>
          <w:sz w:val="32"/>
          <w:szCs w:val="32"/>
          <w:shd w:val="clear" w:color="auto" w:fill="FFFFFF"/>
        </w:rPr>
        <w:t>三公</w:t>
      </w:r>
      <w:r>
        <w:rPr>
          <w:rStyle w:val="6"/>
          <w:rFonts w:eastAsia="方正楷体_GBK"/>
          <w:b w:val="0"/>
          <w:bCs w:val="0"/>
          <w:sz w:val="32"/>
          <w:szCs w:val="32"/>
          <w:shd w:val="clear" w:color="auto" w:fill="FFFFFF"/>
        </w:rPr>
        <w:t>”</w:t>
      </w:r>
      <w:r>
        <w:rPr>
          <w:rStyle w:val="6"/>
          <w:rFonts w:hint="eastAsia" w:ascii="方正楷体_GBK" w:eastAsia="方正楷体_GBK"/>
          <w:b w:val="0"/>
          <w:bCs w:val="0"/>
          <w:sz w:val="32"/>
          <w:szCs w:val="32"/>
          <w:shd w:val="clear" w:color="auto" w:fill="FFFFFF"/>
        </w:rPr>
        <w:t>经费：</w:t>
      </w:r>
      <w:r>
        <w:rPr>
          <w:rFonts w:hint="eastAsia" w:ascii="方正仿宋_GBK"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C238841">
      <w:pPr>
        <w:pStyle w:val="4"/>
        <w:autoSpaceDE w:val="0"/>
        <w:spacing w:before="0" w:before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（十三）机关运行经费：</w:t>
      </w:r>
      <w:r>
        <w:rPr>
          <w:rFonts w:hint="eastAsia" w:ascii="方正仿宋_GBK"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0FD59DD">
      <w:pPr>
        <w:pStyle w:val="4"/>
        <w:autoSpaceDE w:val="0"/>
        <w:spacing w:before="0" w:before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（十四）工资福利支出（支出经济分类科目类级）：</w:t>
      </w:r>
      <w:r>
        <w:rPr>
          <w:rFonts w:hint="eastAsia" w:ascii="方正仿宋_GBK" w:eastAsia="方正仿宋_GBK"/>
          <w:sz w:val="32"/>
          <w:szCs w:val="32"/>
          <w:shd w:val="clear" w:color="auto" w:fill="FFFFFF"/>
        </w:rPr>
        <w:t>反映单位开支的在职职工和编制外长期聘用人员的各类劳动报酬，以及为上述人员缴纳的各项社会保险费等。</w:t>
      </w:r>
    </w:p>
    <w:p w14:paraId="2DEFE560">
      <w:pPr>
        <w:pStyle w:val="4"/>
        <w:autoSpaceDE w:val="0"/>
        <w:spacing w:before="0" w:before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（十五）商品和服务支出（支出经济分类科目类级）：</w:t>
      </w:r>
      <w:r>
        <w:rPr>
          <w:rFonts w:hint="eastAsia" w:ascii="方正仿宋_GBK" w:eastAsia="方正仿宋_GBK"/>
          <w:sz w:val="32"/>
          <w:szCs w:val="32"/>
          <w:shd w:val="clear" w:color="auto" w:fill="FFFFFF"/>
        </w:rPr>
        <w:t>反映单位购买商品和服务的支出（不包括用于购置固定资产的支出、战略性和应急储备支出）。</w:t>
      </w:r>
    </w:p>
    <w:p w14:paraId="750CA8F7">
      <w:pPr>
        <w:pStyle w:val="4"/>
        <w:autoSpaceDE w:val="0"/>
        <w:spacing w:before="0" w:before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（十六）对个人和家庭的补助（支出经济分类科目类级）：</w:t>
      </w:r>
      <w:r>
        <w:rPr>
          <w:rFonts w:hint="eastAsia" w:ascii="方正仿宋_GBK" w:eastAsia="方正仿宋_GBK"/>
          <w:sz w:val="32"/>
          <w:szCs w:val="32"/>
          <w:shd w:val="clear" w:color="auto" w:fill="FFFFFF"/>
        </w:rPr>
        <w:t>反映用于对个人和家庭的补助支出。</w:t>
      </w:r>
    </w:p>
    <w:p w14:paraId="353A13D4">
      <w:pPr>
        <w:pStyle w:val="4"/>
        <w:autoSpaceDE w:val="0"/>
        <w:spacing w:before="0" w:beforeAutospacing="0" w:line="579" w:lineRule="exact"/>
        <w:ind w:firstLine="640" w:firstLineChars="200"/>
        <w:jc w:val="both"/>
        <w:rPr>
          <w:rFonts w:ascii="Times New Roman" w:hAnsi="Times New Roman" w:eastAsia="方正仿宋_GBK" w:cs="Times New Roman"/>
          <w:sz w:val="32"/>
          <w:szCs w:val="32"/>
        </w:rPr>
      </w:pPr>
      <w:r>
        <w:rPr>
          <w:rStyle w:val="6"/>
          <w:rFonts w:hint="eastAsia" w:ascii="方正楷体_GBK" w:eastAsia="方正楷体_GBK"/>
          <w:b w:val="0"/>
          <w:bCs w:val="0"/>
          <w:sz w:val="32"/>
          <w:szCs w:val="32"/>
          <w:shd w:val="clear" w:color="auto" w:fill="FFFFFF"/>
        </w:rPr>
        <w:t>（十七）其他资本性支出（支出经济分类科目类级）：</w:t>
      </w:r>
      <w:r>
        <w:rPr>
          <w:rFonts w:hint="eastAsia" w:ascii="方正仿宋_GBK"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B8AEFBF">
      <w:pPr>
        <w:pStyle w:val="4"/>
        <w:autoSpaceDE w:val="0"/>
        <w:spacing w:before="0" w:beforeAutospacing="0" w:line="579" w:lineRule="exact"/>
        <w:ind w:firstLine="640" w:firstLineChars="200"/>
        <w:jc w:val="both"/>
        <w:rPr>
          <w:rFonts w:ascii="Times New Roman" w:hAnsi="Times New Roman" w:eastAsia="方正黑体_GBK" w:cs="Times New Roman"/>
          <w:sz w:val="32"/>
          <w:szCs w:val="32"/>
          <w:shd w:val="clear" w:color="auto" w:fill="FFFFFF"/>
        </w:rPr>
      </w:pPr>
      <w:r>
        <w:rPr>
          <w:rStyle w:val="6"/>
          <w:rFonts w:hint="eastAsia" w:ascii="方正黑体_GBK" w:eastAsia="方正黑体_GBK"/>
          <w:b w:val="0"/>
          <w:bCs w:val="0"/>
          <w:sz w:val="32"/>
          <w:szCs w:val="32"/>
          <w:shd w:val="clear" w:color="auto" w:fill="FFFFFF"/>
        </w:rPr>
        <w:t>七、决算公开联系方式及信息反馈渠道</w:t>
      </w:r>
    </w:p>
    <w:p w14:paraId="5900F6F3">
      <w:pPr>
        <w:pStyle w:val="4"/>
        <w:autoSpaceDE w:val="0"/>
        <w:spacing w:before="0" w:beforeAutospacing="0" w:line="579" w:lineRule="exact"/>
        <w:ind w:firstLine="640" w:firstLineChars="200"/>
        <w:jc w:val="both"/>
        <w:rPr>
          <w:rFonts w:ascii="Times New Roman" w:hAnsi="Times New Roman" w:eastAsia="方正仿宋_GBK" w:cs="Times New Roman"/>
          <w:sz w:val="32"/>
          <w:szCs w:val="32"/>
        </w:rPr>
      </w:pPr>
      <w:r>
        <w:rPr>
          <w:rFonts w:hint="eastAsia" w:ascii="方正仿宋_GBK" w:eastAsia="方正仿宋_GBK"/>
          <w:sz w:val="32"/>
          <w:szCs w:val="32"/>
          <w:shd w:val="clear" w:color="auto" w:fill="FFFFFF"/>
        </w:rPr>
        <w:t>本单位决算公开信息反馈和联系方式：</w:t>
      </w:r>
    </w:p>
    <w:p w14:paraId="7DD0C379">
      <w:pPr>
        <w:pStyle w:val="4"/>
        <w:autoSpaceDE w:val="0"/>
        <w:spacing w:before="0" w:beforeAutospacing="0" w:line="579" w:lineRule="exact"/>
        <w:ind w:firstLine="640" w:firstLineChars="200"/>
        <w:jc w:val="both"/>
        <w:rPr>
          <w:rFonts w:ascii="Times New Roman" w:hAnsi="Times New Roman" w:eastAsia="方正仿宋_GBK" w:cs="Times New Roman"/>
          <w:sz w:val="32"/>
          <w:szCs w:val="32"/>
        </w:rPr>
      </w:pPr>
      <w:r>
        <w:rPr>
          <w:rFonts w:hint="eastAsia" w:ascii="方正仿宋_GBK" w:eastAsia="方正仿宋_GBK"/>
          <w:sz w:val="32"/>
          <w:szCs w:val="32"/>
          <w:shd w:val="clear" w:color="auto" w:fill="FFFFFF"/>
        </w:rPr>
        <w:t>郑艳玲</w:t>
      </w:r>
      <w:r>
        <w:rPr>
          <w:rFonts w:ascii="Times New Roman" w:hAnsi="Times New Roman" w:eastAsia="方正仿宋_GBK" w:cs="Times New Roman"/>
          <w:sz w:val="32"/>
          <w:szCs w:val="32"/>
          <w:shd w:val="clear" w:color="auto" w:fill="FFFFFF"/>
        </w:rPr>
        <w:t xml:space="preserve">  023-59222380</w:t>
      </w:r>
    </w:p>
    <w:p w14:paraId="10A5310D"/>
    <w:sectPr>
      <w:pgSz w:w="11915" w:h="16851"/>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YThlZDVkNWIzMjEwNGQ5MDBlNjY3NjA5Mjk0NzMifQ=="/>
  </w:docVars>
  <w:rsids>
    <w:rsidRoot w:val="00E173EF"/>
    <w:rsid w:val="003053A9"/>
    <w:rsid w:val="0065612B"/>
    <w:rsid w:val="00E173EF"/>
    <w:rsid w:val="27DC1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普通(网站) Char"/>
    <w:basedOn w:val="1"/>
    <w:qFormat/>
    <w:uiPriority w:val="0"/>
    <w:pPr>
      <w:spacing w:before="100" w:beforeAutospacing="1" w:after="100" w:afterAutospacing="1"/>
    </w:pPr>
  </w:style>
  <w:style w:type="paragraph" w:customStyle="1" w:styleId="5">
    <w:name w:val="List Paragraph"/>
    <w:basedOn w:val="1"/>
    <w:qFormat/>
    <w:uiPriority w:val="0"/>
    <w:pPr>
      <w:ind w:firstLine="420" w:firstLineChars="200"/>
    </w:pPr>
  </w:style>
  <w:style w:type="character" w:customStyle="1" w:styleId="6">
    <w:name w:val="15"/>
    <w:basedOn w:val="3"/>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3125</Words>
  <Characters>3555</Characters>
  <Lines>45</Lines>
  <Paragraphs>12</Paragraphs>
  <TotalTime>6</TotalTime>
  <ScaleCrop>false</ScaleCrop>
  <LinksUpToDate>false</LinksUpToDate>
  <CharactersWithSpaces>3557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2023-11-20T04:54:00Z</dcterms:created>
  <dc:creator>PC</dc:creator>
  <cp:lastModifiedBy>张Zz</cp:lastModifiedBy>
  <dcterms:modified xsi:type="dcterms:W3CDTF">2024-11-27T02:31:27Z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C94A0FA7621B44E78592EDCF4D819979_12</vt:lpwstr>
  </property>
</Properties>
</file>